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double" w:color="auto" w:sz="6" w:space="1"/>
        </w:pBdr>
        <w:wordWrap w:val="0"/>
        <w:spacing w:line="360" w:lineRule="auto"/>
        <w:jc w:val="left"/>
        <w:rPr>
          <w:rFonts w:ascii="宋体" w:hAnsi="宋体"/>
          <w:b/>
          <w:color w:val="auto"/>
          <w:sz w:val="32"/>
          <w:szCs w:val="32"/>
          <w:lang w:val="zh-CN"/>
        </w:rPr>
      </w:pPr>
      <w:r>
        <w:rPr>
          <w:rFonts w:ascii="宋体" w:hAnsi="宋体"/>
          <w:color w:val="auto"/>
        </w:rPr>
        <w:drawing>
          <wp:inline distT="0" distB="0" distL="0" distR="0">
            <wp:extent cx="876300" cy="533400"/>
            <wp:effectExtent l="0" t="0" r="0" b="0"/>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noChangeArrowheads="true"/>
                    </pic:cNvPicPr>
                  </pic:nvPicPr>
                  <pic:blipFill>
                    <a:blip r:embed="rId7">
                      <a:extLst>
                        <a:ext uri="{28A0092B-C50C-407E-A947-70E740481C1C}">
                          <a14:useLocalDpi xmlns:a14="http://schemas.microsoft.com/office/drawing/2010/main" val="false"/>
                        </a:ext>
                      </a:extLst>
                    </a:blip>
                    <a:srcRect r="57085"/>
                    <a:stretch>
                      <a:fillRect/>
                    </a:stretch>
                  </pic:blipFill>
                  <pic:spPr>
                    <a:xfrm>
                      <a:off x="0" y="0"/>
                      <a:ext cx="876300" cy="533400"/>
                    </a:xfrm>
                    <a:prstGeom prst="rect">
                      <a:avLst/>
                    </a:prstGeom>
                    <a:noFill/>
                    <a:ln>
                      <a:noFill/>
                    </a:ln>
                  </pic:spPr>
                </pic:pic>
              </a:graphicData>
            </a:graphic>
          </wp:inline>
        </w:drawing>
      </w:r>
    </w:p>
    <w:p>
      <w:pPr>
        <w:widowControl/>
        <w:wordWrap w:val="0"/>
        <w:spacing w:line="360" w:lineRule="auto"/>
        <w:jc w:val="both"/>
        <w:rPr>
          <w:rFonts w:hint="default" w:ascii="宋体" w:hAnsi="宋体" w:cs="黑体"/>
          <w:b/>
          <w:color w:val="auto"/>
          <w:sz w:val="52"/>
          <w:szCs w:val="52"/>
          <w:lang w:val="en"/>
        </w:rPr>
        <w:pPrChange w:id="0" w:author="bgs" w:date="2025-09-22T11:19:06Z">
          <w:pPr>
            <w:widowControl/>
            <w:wordWrap w:val="0"/>
            <w:spacing w:line="360" w:lineRule="auto"/>
            <w:jc w:val="center"/>
          </w:pPr>
        </w:pPrChange>
      </w:pPr>
    </w:p>
    <w:p>
      <w:pPr>
        <w:widowControl/>
        <w:wordWrap w:val="0"/>
        <w:spacing w:line="360" w:lineRule="auto"/>
        <w:jc w:val="center"/>
        <w:rPr>
          <w:rFonts w:ascii="宋体" w:hAnsi="宋体" w:cs="黑体"/>
          <w:b/>
          <w:color w:val="auto"/>
          <w:sz w:val="52"/>
          <w:szCs w:val="52"/>
        </w:rPr>
      </w:pPr>
    </w:p>
    <w:p>
      <w:pPr>
        <w:widowControl/>
        <w:wordWrap w:val="0"/>
        <w:spacing w:line="360" w:lineRule="auto"/>
        <w:jc w:val="center"/>
        <w:rPr>
          <w:rFonts w:ascii="宋体" w:hAnsi="宋体" w:cs="黑体"/>
          <w:b/>
          <w:color w:val="auto"/>
          <w:sz w:val="72"/>
          <w:szCs w:val="72"/>
        </w:rPr>
      </w:pPr>
      <w:r>
        <w:rPr>
          <w:rFonts w:hint="eastAsia" w:ascii="宋体" w:hAnsi="宋体" w:cs="黑体"/>
          <w:b/>
          <w:color w:val="auto"/>
          <w:sz w:val="72"/>
          <w:szCs w:val="72"/>
        </w:rPr>
        <w:t>竞争性磋商采购文件</w:t>
      </w:r>
    </w:p>
    <w:p>
      <w:pPr>
        <w:widowControl/>
        <w:wordWrap w:val="0"/>
        <w:spacing w:line="360" w:lineRule="auto"/>
        <w:jc w:val="center"/>
        <w:rPr>
          <w:rFonts w:ascii="宋体" w:hAnsi="宋体" w:cs="黑体"/>
          <w:b/>
          <w:color w:val="auto"/>
          <w:sz w:val="52"/>
          <w:szCs w:val="52"/>
          <w:lang w:val="zh-CN"/>
        </w:rPr>
      </w:pPr>
    </w:p>
    <w:p>
      <w:pPr>
        <w:widowControl/>
        <w:wordWrap w:val="0"/>
        <w:spacing w:line="360" w:lineRule="auto"/>
        <w:jc w:val="center"/>
        <w:rPr>
          <w:rFonts w:ascii="宋体" w:hAnsi="宋体" w:cs="黑体"/>
          <w:b/>
          <w:color w:val="auto"/>
          <w:sz w:val="52"/>
          <w:szCs w:val="52"/>
          <w:lang w:val="zh-CN"/>
        </w:rPr>
      </w:pPr>
    </w:p>
    <w:p>
      <w:pPr>
        <w:wordWrap w:val="0"/>
        <w:spacing w:line="360" w:lineRule="auto"/>
        <w:ind w:firstLine="842" w:firstLineChars="233"/>
        <w:rPr>
          <w:rFonts w:hint="eastAsia" w:ascii="宋体" w:hAnsi="宋体" w:eastAsia="宋体" w:cs="黑体"/>
          <w:b/>
          <w:color w:val="auto"/>
          <w:sz w:val="36"/>
          <w:u w:val="single"/>
          <w:lang w:eastAsia="zh-CN"/>
        </w:rPr>
      </w:pPr>
      <w:r>
        <w:rPr>
          <w:rFonts w:hint="eastAsia" w:ascii="宋体" w:hAnsi="宋体" w:cs="黑体"/>
          <w:b/>
          <w:color w:val="auto"/>
          <w:sz w:val="36"/>
        </w:rPr>
        <w:t>项 目 编 号：</w:t>
      </w:r>
      <w:r>
        <w:rPr>
          <w:rFonts w:hint="eastAsia" w:ascii="宋体" w:hAnsi="宋体" w:cs="黑体"/>
          <w:b/>
          <w:color w:val="auto"/>
          <w:sz w:val="36"/>
          <w:lang w:eastAsia="zh-CN"/>
        </w:rPr>
        <w:t>JXFZ2023-XM0217</w:t>
      </w:r>
    </w:p>
    <w:p>
      <w:pPr>
        <w:wordWrap w:val="0"/>
        <w:spacing w:line="360" w:lineRule="auto"/>
        <w:ind w:left="3369" w:leftChars="400" w:hanging="2529" w:hangingChars="700"/>
        <w:rPr>
          <w:rFonts w:ascii="宋体" w:hAnsi="宋体" w:cs="黑体"/>
          <w:b/>
          <w:color w:val="auto"/>
          <w:sz w:val="36"/>
          <w:u w:val="single"/>
        </w:rPr>
      </w:pPr>
      <w:r>
        <w:rPr>
          <w:rFonts w:hint="eastAsia" w:ascii="宋体" w:hAnsi="宋体" w:cs="黑体"/>
          <w:b/>
          <w:color w:val="auto"/>
          <w:sz w:val="36"/>
        </w:rPr>
        <w:t>项 目 名 称：厦门市城市管理行政执法局专职法律顾问助理服务采购</w:t>
      </w:r>
    </w:p>
    <w:p>
      <w:pPr>
        <w:wordWrap w:val="0"/>
        <w:spacing w:line="360" w:lineRule="auto"/>
        <w:ind w:firstLine="842" w:firstLineChars="233"/>
        <w:rPr>
          <w:rFonts w:ascii="宋体" w:hAnsi="宋体" w:cs="黑体"/>
          <w:b/>
          <w:color w:val="auto"/>
          <w:sz w:val="36"/>
        </w:rPr>
      </w:pPr>
    </w:p>
    <w:p>
      <w:pPr>
        <w:wordWrap w:val="0"/>
        <w:spacing w:line="360" w:lineRule="auto"/>
        <w:ind w:firstLine="842" w:firstLineChars="233"/>
        <w:rPr>
          <w:rFonts w:ascii="宋体" w:hAnsi="宋体" w:cs="黑体"/>
          <w:b/>
          <w:color w:val="auto"/>
          <w:sz w:val="36"/>
        </w:rPr>
      </w:pPr>
    </w:p>
    <w:p>
      <w:pPr>
        <w:wordWrap w:val="0"/>
        <w:spacing w:line="360" w:lineRule="auto"/>
        <w:ind w:firstLine="842" w:firstLineChars="233"/>
        <w:rPr>
          <w:rFonts w:ascii="宋体" w:hAnsi="宋体" w:cs="黑体"/>
          <w:b/>
          <w:color w:val="auto"/>
          <w:sz w:val="36"/>
        </w:rPr>
      </w:pPr>
    </w:p>
    <w:p>
      <w:pPr>
        <w:pStyle w:val="16"/>
        <w:wordWrap w:val="0"/>
        <w:spacing w:line="360" w:lineRule="auto"/>
        <w:ind w:firstLine="722" w:firstLineChars="200"/>
        <w:jc w:val="left"/>
        <w:rPr>
          <w:rFonts w:hAnsi="宋体" w:cs="黑体"/>
          <w:b/>
          <w:bCs/>
          <w:color w:val="auto"/>
          <w:sz w:val="32"/>
          <w:szCs w:val="32"/>
          <w:u w:val="single"/>
        </w:rPr>
      </w:pPr>
      <w:r>
        <w:rPr>
          <w:rFonts w:hint="eastAsia" w:hAnsi="宋体" w:cs="黑体"/>
          <w:b/>
          <w:color w:val="auto"/>
          <w:spacing w:val="20"/>
          <w:sz w:val="32"/>
          <w:szCs w:val="32"/>
        </w:rPr>
        <w:t>采购人：</w:t>
      </w:r>
      <w:r>
        <w:rPr>
          <w:rFonts w:hint="eastAsia" w:hAnsi="宋体" w:cs="黑体"/>
          <w:b/>
          <w:bCs/>
          <w:color w:val="auto"/>
          <w:sz w:val="32"/>
          <w:szCs w:val="32"/>
        </w:rPr>
        <w:t>厦门市城市管理行政执法局</w:t>
      </w:r>
    </w:p>
    <w:p>
      <w:pPr>
        <w:pStyle w:val="16"/>
        <w:wordWrap w:val="0"/>
        <w:spacing w:line="360" w:lineRule="auto"/>
        <w:ind w:firstLine="722" w:firstLineChars="200"/>
        <w:jc w:val="left"/>
        <w:rPr>
          <w:rFonts w:hAnsi="宋体" w:cs="黑体"/>
          <w:b/>
          <w:color w:val="auto"/>
          <w:sz w:val="32"/>
          <w:szCs w:val="21"/>
        </w:rPr>
      </w:pPr>
      <w:r>
        <w:rPr>
          <w:rFonts w:hint="eastAsia" w:hAnsi="宋体" w:cs="黑体"/>
          <w:b/>
          <w:color w:val="auto"/>
          <w:spacing w:val="20"/>
          <w:sz w:val="32"/>
          <w:szCs w:val="32"/>
        </w:rPr>
        <w:t>招标代理机构：</w:t>
      </w:r>
      <w:r>
        <w:rPr>
          <w:rFonts w:hint="eastAsia" w:hAnsi="宋体" w:cs="黑体"/>
          <w:b/>
          <w:bCs/>
          <w:color w:val="auto"/>
          <w:sz w:val="32"/>
          <w:szCs w:val="32"/>
        </w:rPr>
        <w:t>建信发展（厦门）采购招标有限公司</w:t>
      </w:r>
    </w:p>
    <w:p>
      <w:pPr>
        <w:widowControl/>
        <w:pBdr>
          <w:bottom w:val="double" w:color="auto" w:sz="6" w:space="1"/>
        </w:pBdr>
        <w:wordWrap w:val="0"/>
        <w:spacing w:line="360" w:lineRule="auto"/>
        <w:rPr>
          <w:rFonts w:ascii="宋体" w:hAnsi="宋体" w:cs="黑体"/>
          <w:b/>
          <w:color w:val="auto"/>
          <w:sz w:val="28"/>
          <w:szCs w:val="28"/>
        </w:rPr>
      </w:pPr>
    </w:p>
    <w:p>
      <w:pPr>
        <w:widowControl/>
        <w:wordWrap w:val="0"/>
        <w:spacing w:line="360" w:lineRule="auto"/>
        <w:jc w:val="center"/>
        <w:rPr>
          <w:rFonts w:ascii="宋体" w:hAnsi="宋体" w:cs="黑体"/>
          <w:b/>
          <w:color w:val="auto"/>
          <w:sz w:val="44"/>
          <w:szCs w:val="44"/>
        </w:rPr>
      </w:pPr>
      <w:r>
        <w:rPr>
          <w:rFonts w:hint="eastAsia" w:ascii="宋体" w:hAnsi="宋体" w:cs="黑体"/>
          <w:b/>
          <w:color w:val="auto"/>
          <w:sz w:val="36"/>
        </w:rPr>
        <w:t>二○二三年</w:t>
      </w:r>
      <w:r>
        <w:rPr>
          <w:rFonts w:hint="eastAsia" w:ascii="宋体" w:hAnsi="宋体" w:cs="黑体"/>
          <w:b/>
          <w:color w:val="auto"/>
          <w:sz w:val="36"/>
          <w:lang w:val="en-US" w:eastAsia="zh-CN"/>
        </w:rPr>
        <w:t>五</w:t>
      </w:r>
      <w:r>
        <w:rPr>
          <w:rFonts w:hint="eastAsia" w:ascii="宋体" w:hAnsi="宋体" w:cs="黑体"/>
          <w:b/>
          <w:color w:val="auto"/>
          <w:sz w:val="36"/>
        </w:rPr>
        <w:t>月</w:t>
      </w:r>
    </w:p>
    <w:p>
      <w:pPr>
        <w:keepNext/>
        <w:keepLines/>
        <w:pageBreakBefore/>
        <w:widowControl/>
        <w:wordWrap w:val="0"/>
        <w:spacing w:line="360" w:lineRule="auto"/>
        <w:jc w:val="center"/>
        <w:rPr>
          <w:rFonts w:ascii="宋体" w:hAnsi="宋体"/>
          <w:b/>
          <w:color w:val="auto"/>
          <w:sz w:val="36"/>
          <w:szCs w:val="36"/>
        </w:rPr>
      </w:pPr>
      <w:r>
        <w:rPr>
          <w:rFonts w:hint="eastAsia" w:ascii="宋体" w:hAnsi="宋体"/>
          <w:b/>
          <w:color w:val="auto"/>
          <w:sz w:val="36"/>
          <w:szCs w:val="36"/>
        </w:rPr>
        <w:t>目 录</w:t>
      </w:r>
    </w:p>
    <w:p>
      <w:pPr>
        <w:pStyle w:val="22"/>
        <w:tabs>
          <w:tab w:val="right" w:leader="dot" w:pos="8312"/>
        </w:tabs>
        <w:rPr>
          <w:color w:val="auto"/>
        </w:rPr>
      </w:pPr>
      <w:r>
        <w:rPr>
          <w:rFonts w:ascii="宋体" w:hAnsi="宋体"/>
          <w:color w:val="auto"/>
        </w:rPr>
        <w:fldChar w:fldCharType="begin"/>
      </w:r>
      <w:r>
        <w:rPr>
          <w:rFonts w:ascii="宋体" w:hAnsi="宋体"/>
          <w:color w:val="auto"/>
        </w:rPr>
        <w:instrText xml:space="preserve">TOC \o "1-2" \h \u </w:instrText>
      </w:r>
      <w:r>
        <w:rPr>
          <w:rFonts w:ascii="宋体" w:hAnsi="宋体"/>
          <w:color w:val="auto"/>
        </w:rPr>
        <w:fldChar w:fldCharType="separate"/>
      </w:r>
      <w:r>
        <w:rPr>
          <w:rFonts w:ascii="宋体" w:hAnsi="宋体"/>
          <w:color w:val="auto"/>
        </w:rPr>
        <w:fldChar w:fldCharType="begin"/>
      </w:r>
      <w:r>
        <w:rPr>
          <w:rFonts w:ascii="宋体" w:hAnsi="宋体"/>
          <w:color w:val="auto"/>
        </w:rPr>
        <w:instrText xml:space="preserve"> HYPERLINK \l _Toc10841 </w:instrText>
      </w:r>
      <w:r>
        <w:rPr>
          <w:rFonts w:ascii="宋体" w:hAnsi="宋体"/>
          <w:color w:val="auto"/>
        </w:rPr>
        <w:fldChar w:fldCharType="separate"/>
      </w:r>
      <w:r>
        <w:rPr>
          <w:rFonts w:hint="eastAsia" w:ascii="宋体" w:hAnsi="宋体"/>
          <w:bCs/>
          <w:color w:val="auto"/>
          <w:szCs w:val="36"/>
        </w:rPr>
        <w:t>第一章  磋商邀请</w:t>
      </w:r>
      <w:r>
        <w:rPr>
          <w:color w:val="auto"/>
        </w:rPr>
        <w:tab/>
      </w:r>
      <w:r>
        <w:rPr>
          <w:color w:val="auto"/>
        </w:rPr>
        <w:fldChar w:fldCharType="begin"/>
      </w:r>
      <w:r>
        <w:rPr>
          <w:color w:val="auto"/>
        </w:rPr>
        <w:instrText xml:space="preserve"> PAGEREF _Toc10841 \h </w:instrText>
      </w:r>
      <w:r>
        <w:rPr>
          <w:color w:val="auto"/>
        </w:rPr>
        <w:fldChar w:fldCharType="separate"/>
      </w:r>
      <w:r>
        <w:rPr>
          <w:color w:val="auto"/>
        </w:rPr>
        <w:t>3</w:t>
      </w:r>
      <w:r>
        <w:rPr>
          <w:color w:val="auto"/>
        </w:rPr>
        <w:fldChar w:fldCharType="end"/>
      </w:r>
      <w:r>
        <w:rPr>
          <w:rFonts w:ascii="宋体" w:hAnsi="宋体"/>
          <w:color w:val="auto"/>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_Toc26589 </w:instrText>
      </w:r>
      <w:r>
        <w:rPr>
          <w:rFonts w:ascii="宋体" w:hAnsi="宋体"/>
          <w:color w:val="auto"/>
          <w:szCs w:val="24"/>
        </w:rPr>
        <w:fldChar w:fldCharType="separate"/>
      </w:r>
      <w:r>
        <w:rPr>
          <w:rFonts w:hint="eastAsia" w:ascii="宋体" w:hAnsi="宋体"/>
          <w:color w:val="auto"/>
          <w:szCs w:val="24"/>
        </w:rPr>
        <w:t>附：采购项目一览表</w:t>
      </w:r>
      <w:r>
        <w:rPr>
          <w:color w:val="auto"/>
        </w:rPr>
        <w:tab/>
      </w:r>
      <w:r>
        <w:rPr>
          <w:color w:val="auto"/>
        </w:rPr>
        <w:fldChar w:fldCharType="begin"/>
      </w:r>
      <w:r>
        <w:rPr>
          <w:color w:val="auto"/>
        </w:rPr>
        <w:instrText xml:space="preserve"> PAGEREF _Toc26589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22"/>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_Toc7048 </w:instrText>
      </w:r>
      <w:r>
        <w:rPr>
          <w:rFonts w:ascii="宋体" w:hAnsi="宋体"/>
          <w:color w:val="auto"/>
          <w:szCs w:val="24"/>
        </w:rPr>
        <w:fldChar w:fldCharType="separate"/>
      </w:r>
      <w:r>
        <w:rPr>
          <w:rFonts w:hint="eastAsia" w:ascii="宋体" w:hAnsi="宋体"/>
          <w:bCs/>
          <w:color w:val="auto"/>
          <w:szCs w:val="36"/>
        </w:rPr>
        <w:t>第二章  报价人须知</w:t>
      </w:r>
      <w:r>
        <w:rPr>
          <w:color w:val="auto"/>
        </w:rPr>
        <w:tab/>
      </w:r>
      <w:r>
        <w:rPr>
          <w:color w:val="auto"/>
        </w:rPr>
        <w:fldChar w:fldCharType="begin"/>
      </w:r>
      <w:r>
        <w:rPr>
          <w:color w:val="auto"/>
        </w:rPr>
        <w:instrText xml:space="preserve"> PAGEREF _Toc7048 \h </w:instrText>
      </w:r>
      <w:r>
        <w:rPr>
          <w:color w:val="auto"/>
        </w:rPr>
        <w:fldChar w:fldCharType="separate"/>
      </w:r>
      <w:r>
        <w:rPr>
          <w:color w:val="auto"/>
        </w:rPr>
        <w:t>5</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_Toc17111 </w:instrText>
      </w:r>
      <w:r>
        <w:rPr>
          <w:rFonts w:ascii="宋体" w:hAnsi="宋体"/>
          <w:color w:val="auto"/>
          <w:szCs w:val="24"/>
        </w:rPr>
        <w:fldChar w:fldCharType="separate"/>
      </w:r>
      <w:r>
        <w:rPr>
          <w:rFonts w:hint="eastAsia" w:ascii="宋体" w:hAnsi="宋体"/>
          <w:color w:val="auto"/>
          <w:szCs w:val="28"/>
        </w:rPr>
        <w:t>报价人须知前附表1</w:t>
      </w:r>
      <w:r>
        <w:rPr>
          <w:color w:val="auto"/>
        </w:rPr>
        <w:tab/>
      </w:r>
      <w:r>
        <w:rPr>
          <w:color w:val="auto"/>
        </w:rPr>
        <w:fldChar w:fldCharType="begin"/>
      </w:r>
      <w:r>
        <w:rPr>
          <w:color w:val="auto"/>
        </w:rPr>
        <w:instrText xml:space="preserve"> PAGEREF _Toc17111 \h </w:instrText>
      </w:r>
      <w:r>
        <w:rPr>
          <w:color w:val="auto"/>
        </w:rPr>
        <w:fldChar w:fldCharType="separate"/>
      </w:r>
      <w:r>
        <w:rPr>
          <w:color w:val="auto"/>
        </w:rPr>
        <w:t>5</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_Toc12583 </w:instrText>
      </w:r>
      <w:r>
        <w:rPr>
          <w:rFonts w:ascii="宋体" w:hAnsi="宋体"/>
          <w:color w:val="auto"/>
          <w:szCs w:val="24"/>
        </w:rPr>
        <w:fldChar w:fldCharType="separate"/>
      </w:r>
      <w:r>
        <w:rPr>
          <w:rFonts w:hint="eastAsia" w:ascii="宋体" w:hAnsi="宋体"/>
          <w:color w:val="auto"/>
          <w:szCs w:val="28"/>
        </w:rPr>
        <w:t>报价人须知前附表2：资格性、符合性检查表</w:t>
      </w:r>
      <w:r>
        <w:rPr>
          <w:color w:val="auto"/>
        </w:rPr>
        <w:tab/>
      </w:r>
      <w:r>
        <w:rPr>
          <w:color w:val="auto"/>
        </w:rPr>
        <w:fldChar w:fldCharType="begin"/>
      </w:r>
      <w:r>
        <w:rPr>
          <w:color w:val="auto"/>
        </w:rPr>
        <w:instrText xml:space="preserve"> PAGEREF _Toc12583 \h </w:instrText>
      </w:r>
      <w:r>
        <w:rPr>
          <w:color w:val="auto"/>
        </w:rPr>
        <w:fldChar w:fldCharType="separate"/>
      </w:r>
      <w:r>
        <w:rPr>
          <w:color w:val="auto"/>
        </w:rPr>
        <w:t>6</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_Toc30703 </w:instrText>
      </w:r>
      <w:r>
        <w:rPr>
          <w:rFonts w:ascii="宋体" w:hAnsi="宋体"/>
          <w:color w:val="auto"/>
          <w:szCs w:val="24"/>
        </w:rPr>
        <w:fldChar w:fldCharType="separate"/>
      </w:r>
      <w:r>
        <w:rPr>
          <w:rFonts w:hint="eastAsia" w:ascii="宋体" w:hAnsi="宋体"/>
          <w:color w:val="auto"/>
          <w:szCs w:val="28"/>
        </w:rPr>
        <w:t>报价人须知前附表3：磋商规则、评审标准</w:t>
      </w:r>
      <w:r>
        <w:rPr>
          <w:color w:val="auto"/>
        </w:rPr>
        <w:tab/>
      </w:r>
      <w:r>
        <w:rPr>
          <w:color w:val="auto"/>
        </w:rPr>
        <w:fldChar w:fldCharType="begin"/>
      </w:r>
      <w:r>
        <w:rPr>
          <w:color w:val="auto"/>
        </w:rPr>
        <w:instrText xml:space="preserve"> PAGEREF _Toc30703 \h </w:instrText>
      </w:r>
      <w:r>
        <w:rPr>
          <w:color w:val="auto"/>
        </w:rPr>
        <w:fldChar w:fldCharType="separate"/>
      </w:r>
      <w:r>
        <w:rPr>
          <w:color w:val="auto"/>
        </w:rPr>
        <w:t>15</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_Toc29466 </w:instrText>
      </w:r>
      <w:r>
        <w:rPr>
          <w:rFonts w:ascii="宋体" w:hAnsi="宋体"/>
          <w:color w:val="auto"/>
          <w:szCs w:val="24"/>
        </w:rPr>
        <w:fldChar w:fldCharType="separate"/>
      </w:r>
      <w:r>
        <w:rPr>
          <w:rFonts w:hint="eastAsia" w:ascii="宋体" w:hAnsi="宋体"/>
          <w:color w:val="auto"/>
          <w:szCs w:val="28"/>
        </w:rPr>
        <w:t>带“</w:t>
      </w:r>
      <w:r>
        <w:rPr>
          <w:rFonts w:hint="eastAsia" w:ascii="宋体" w:hAnsi="宋体"/>
          <w:color w:val="auto"/>
          <w:szCs w:val="24"/>
        </w:rPr>
        <w:t>★</w:t>
      </w:r>
      <w:r>
        <w:rPr>
          <w:rFonts w:hint="eastAsia" w:ascii="宋体" w:hAnsi="宋体"/>
          <w:color w:val="auto"/>
          <w:szCs w:val="28"/>
        </w:rPr>
        <w:t>”条款汇总表</w:t>
      </w:r>
      <w:r>
        <w:rPr>
          <w:color w:val="auto"/>
        </w:rPr>
        <w:tab/>
      </w:r>
      <w:r>
        <w:rPr>
          <w:color w:val="auto"/>
        </w:rPr>
        <w:fldChar w:fldCharType="begin"/>
      </w:r>
      <w:r>
        <w:rPr>
          <w:color w:val="auto"/>
        </w:rPr>
        <w:instrText xml:space="preserve"> PAGEREF _Toc29466 \h </w:instrText>
      </w:r>
      <w:r>
        <w:rPr>
          <w:color w:val="auto"/>
        </w:rPr>
        <w:fldChar w:fldCharType="separate"/>
      </w:r>
      <w:r>
        <w:rPr>
          <w:color w:val="auto"/>
        </w:rPr>
        <w:t>17</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_Toc17662 </w:instrText>
      </w:r>
      <w:r>
        <w:rPr>
          <w:rFonts w:ascii="宋体" w:hAnsi="宋体"/>
          <w:color w:val="auto"/>
          <w:szCs w:val="24"/>
        </w:rPr>
        <w:fldChar w:fldCharType="separate"/>
      </w:r>
      <w:r>
        <w:rPr>
          <w:rFonts w:hint="eastAsia" w:ascii="宋体" w:hAnsi="宋体"/>
          <w:color w:val="auto"/>
          <w:szCs w:val="28"/>
        </w:rPr>
        <w:t>附件：综合评分法</w:t>
      </w:r>
      <w:r>
        <w:rPr>
          <w:color w:val="auto"/>
        </w:rPr>
        <w:tab/>
      </w:r>
      <w:r>
        <w:rPr>
          <w:color w:val="auto"/>
        </w:rPr>
        <w:fldChar w:fldCharType="begin"/>
      </w:r>
      <w:r>
        <w:rPr>
          <w:color w:val="auto"/>
        </w:rPr>
        <w:instrText xml:space="preserve"> PAGEREF _Toc17662 \h </w:instrText>
      </w:r>
      <w:r>
        <w:rPr>
          <w:color w:val="auto"/>
        </w:rPr>
        <w:fldChar w:fldCharType="separate"/>
      </w:r>
      <w:r>
        <w:rPr>
          <w:color w:val="auto"/>
        </w:rPr>
        <w:t>18</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_Toc12117 </w:instrText>
      </w:r>
      <w:r>
        <w:rPr>
          <w:rFonts w:ascii="宋体" w:hAnsi="宋体"/>
          <w:color w:val="auto"/>
          <w:szCs w:val="24"/>
        </w:rPr>
        <w:fldChar w:fldCharType="separate"/>
      </w:r>
      <w:r>
        <w:rPr>
          <w:rFonts w:hint="eastAsia" w:ascii="宋体" w:hAnsi="宋体"/>
          <w:color w:val="auto"/>
        </w:rPr>
        <w:t>一、</w:t>
      </w:r>
      <w:r>
        <w:rPr>
          <w:rFonts w:ascii="宋体" w:hAnsi="宋体"/>
          <w:color w:val="auto"/>
        </w:rPr>
        <w:t>说明</w:t>
      </w:r>
      <w:r>
        <w:rPr>
          <w:color w:val="auto"/>
        </w:rPr>
        <w:tab/>
      </w:r>
      <w:r>
        <w:rPr>
          <w:color w:val="auto"/>
        </w:rPr>
        <w:fldChar w:fldCharType="begin"/>
      </w:r>
      <w:r>
        <w:rPr>
          <w:color w:val="auto"/>
        </w:rPr>
        <w:instrText xml:space="preserve"> PAGEREF _Toc12117 \h </w:instrText>
      </w:r>
      <w:r>
        <w:rPr>
          <w:color w:val="auto"/>
        </w:rPr>
        <w:fldChar w:fldCharType="separate"/>
      </w:r>
      <w:r>
        <w:rPr>
          <w:color w:val="auto"/>
        </w:rPr>
        <w:t>25</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_Toc4539 </w:instrText>
      </w:r>
      <w:r>
        <w:rPr>
          <w:rFonts w:ascii="宋体" w:hAnsi="宋体"/>
          <w:color w:val="auto"/>
          <w:szCs w:val="24"/>
        </w:rPr>
        <w:fldChar w:fldCharType="separate"/>
      </w:r>
      <w:r>
        <w:rPr>
          <w:rFonts w:hint="eastAsia" w:ascii="宋体" w:hAnsi="宋体"/>
          <w:color w:val="auto"/>
        </w:rPr>
        <w:t>二、采购文件</w:t>
      </w:r>
      <w:r>
        <w:rPr>
          <w:color w:val="auto"/>
        </w:rPr>
        <w:tab/>
      </w:r>
      <w:r>
        <w:rPr>
          <w:color w:val="auto"/>
        </w:rPr>
        <w:fldChar w:fldCharType="begin"/>
      </w:r>
      <w:r>
        <w:rPr>
          <w:color w:val="auto"/>
        </w:rPr>
        <w:instrText xml:space="preserve"> PAGEREF _Toc4539 \h </w:instrText>
      </w:r>
      <w:r>
        <w:rPr>
          <w:color w:val="auto"/>
        </w:rPr>
        <w:fldChar w:fldCharType="separate"/>
      </w:r>
      <w:r>
        <w:rPr>
          <w:color w:val="auto"/>
        </w:rPr>
        <w:t>29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_Toc504 </w:instrText>
      </w:r>
      <w:r>
        <w:rPr>
          <w:rFonts w:ascii="宋体" w:hAnsi="宋体"/>
          <w:color w:val="auto"/>
          <w:szCs w:val="24"/>
        </w:rPr>
        <w:fldChar w:fldCharType="separate"/>
      </w:r>
      <w:r>
        <w:rPr>
          <w:rFonts w:hint="eastAsia" w:ascii="宋体" w:hAnsi="宋体"/>
          <w:color w:val="auto"/>
        </w:rPr>
        <w:t>三、报价文件的编写</w:t>
      </w:r>
      <w:r>
        <w:rPr>
          <w:color w:val="auto"/>
        </w:rPr>
        <w:tab/>
      </w:r>
      <w:r>
        <w:rPr>
          <w:color w:val="auto"/>
        </w:rPr>
        <w:fldChar w:fldCharType="begin"/>
      </w:r>
      <w:r>
        <w:rPr>
          <w:color w:val="auto"/>
        </w:rPr>
        <w:instrText xml:space="preserve"> PAGEREF _Toc504 \h </w:instrText>
      </w:r>
      <w:r>
        <w:rPr>
          <w:color w:val="auto"/>
        </w:rPr>
        <w:fldChar w:fldCharType="separate"/>
      </w:r>
      <w:r>
        <w:rPr>
          <w:color w:val="auto"/>
        </w:rPr>
        <w:t>29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_Toc14309 </w:instrText>
      </w:r>
      <w:r>
        <w:rPr>
          <w:rFonts w:ascii="宋体" w:hAnsi="宋体"/>
          <w:color w:val="auto"/>
          <w:szCs w:val="24"/>
        </w:rPr>
        <w:fldChar w:fldCharType="separate"/>
      </w:r>
      <w:r>
        <w:rPr>
          <w:rFonts w:hint="eastAsia" w:ascii="宋体" w:hAnsi="宋体"/>
          <w:color w:val="auto"/>
          <w:szCs w:val="24"/>
        </w:rPr>
        <w:t>四、报价文件的提交</w:t>
      </w:r>
      <w:r>
        <w:rPr>
          <w:color w:val="auto"/>
        </w:rPr>
        <w:tab/>
      </w:r>
      <w:r>
        <w:rPr>
          <w:color w:val="auto"/>
        </w:rPr>
        <w:fldChar w:fldCharType="begin"/>
      </w:r>
      <w:r>
        <w:rPr>
          <w:color w:val="auto"/>
        </w:rPr>
        <w:instrText xml:space="preserve"> PAGEREF _Toc14309 \h </w:instrText>
      </w:r>
      <w:r>
        <w:rPr>
          <w:color w:val="auto"/>
        </w:rPr>
        <w:fldChar w:fldCharType="separate"/>
      </w:r>
      <w:r>
        <w:rPr>
          <w:color w:val="auto"/>
        </w:rPr>
        <w:t>32</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_Toc23394 </w:instrText>
      </w:r>
      <w:r>
        <w:rPr>
          <w:rFonts w:ascii="宋体" w:hAnsi="宋体"/>
          <w:color w:val="auto"/>
          <w:szCs w:val="24"/>
        </w:rPr>
        <w:fldChar w:fldCharType="separate"/>
      </w:r>
      <w:r>
        <w:rPr>
          <w:rFonts w:hint="eastAsia" w:ascii="宋体" w:hAnsi="宋体"/>
          <w:color w:val="auto"/>
        </w:rPr>
        <w:t>五、报价文件的评估和比较</w:t>
      </w:r>
      <w:r>
        <w:rPr>
          <w:color w:val="auto"/>
        </w:rPr>
        <w:tab/>
      </w:r>
      <w:r>
        <w:rPr>
          <w:color w:val="auto"/>
        </w:rPr>
        <w:fldChar w:fldCharType="begin"/>
      </w:r>
      <w:r>
        <w:rPr>
          <w:color w:val="auto"/>
        </w:rPr>
        <w:instrText xml:space="preserve"> PAGEREF _Toc23394 \h </w:instrText>
      </w:r>
      <w:r>
        <w:rPr>
          <w:color w:val="auto"/>
        </w:rPr>
        <w:fldChar w:fldCharType="separate"/>
      </w:r>
      <w:r>
        <w:rPr>
          <w:color w:val="auto"/>
        </w:rPr>
        <w:t>33</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_Toc21907 </w:instrText>
      </w:r>
      <w:r>
        <w:rPr>
          <w:rFonts w:ascii="宋体" w:hAnsi="宋体"/>
          <w:color w:val="auto"/>
          <w:szCs w:val="24"/>
        </w:rPr>
        <w:fldChar w:fldCharType="separate"/>
      </w:r>
      <w:r>
        <w:rPr>
          <w:rFonts w:hint="eastAsia" w:ascii="宋体" w:hAnsi="宋体"/>
          <w:color w:val="auto"/>
        </w:rPr>
        <w:t>六、成交与签订合同</w:t>
      </w:r>
      <w:r>
        <w:rPr>
          <w:color w:val="auto"/>
        </w:rPr>
        <w:tab/>
      </w:r>
      <w:r>
        <w:rPr>
          <w:color w:val="auto"/>
        </w:rPr>
        <w:fldChar w:fldCharType="begin"/>
      </w:r>
      <w:r>
        <w:rPr>
          <w:color w:val="auto"/>
        </w:rPr>
        <w:instrText xml:space="preserve"> PAGEREF _Toc21907 \h </w:instrText>
      </w:r>
      <w:r>
        <w:rPr>
          <w:color w:val="auto"/>
        </w:rPr>
        <w:fldChar w:fldCharType="separate"/>
      </w:r>
      <w:r>
        <w:rPr>
          <w:color w:val="auto"/>
        </w:rPr>
        <w:t>36</w:t>
      </w:r>
      <w:r>
        <w:rPr>
          <w:color w:val="auto"/>
        </w:rPr>
        <w:fldChar w:fldCharType="end"/>
      </w:r>
      <w:r>
        <w:rPr>
          <w:rFonts w:ascii="宋体" w:hAnsi="宋体"/>
          <w:color w:val="auto"/>
          <w:szCs w:val="24"/>
        </w:rPr>
        <w:fldChar w:fldCharType="end"/>
      </w:r>
    </w:p>
    <w:p>
      <w:pPr>
        <w:pStyle w:val="22"/>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_Toc23477 </w:instrText>
      </w:r>
      <w:r>
        <w:rPr>
          <w:rFonts w:ascii="宋体" w:hAnsi="宋体"/>
          <w:color w:val="auto"/>
          <w:szCs w:val="24"/>
        </w:rPr>
        <w:fldChar w:fldCharType="separate"/>
      </w:r>
      <w:r>
        <w:rPr>
          <w:rFonts w:hint="eastAsia" w:ascii="宋体" w:hAnsi="宋体"/>
          <w:bCs/>
          <w:color w:val="auto"/>
          <w:szCs w:val="36"/>
        </w:rPr>
        <w:t>第三章  采购内容及要求</w:t>
      </w:r>
      <w:r>
        <w:rPr>
          <w:color w:val="auto"/>
        </w:rPr>
        <w:tab/>
      </w:r>
      <w:r>
        <w:rPr>
          <w:color w:val="auto"/>
        </w:rPr>
        <w:fldChar w:fldCharType="begin"/>
      </w:r>
      <w:r>
        <w:rPr>
          <w:color w:val="auto"/>
        </w:rPr>
        <w:instrText xml:space="preserve"> PAGEREF _Toc23477 \h </w:instrText>
      </w:r>
      <w:r>
        <w:rPr>
          <w:color w:val="auto"/>
        </w:rPr>
        <w:fldChar w:fldCharType="separate"/>
      </w:r>
      <w:r>
        <w:rPr>
          <w:color w:val="auto"/>
        </w:rPr>
        <w:t>38</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_Toc17182 </w:instrText>
      </w:r>
      <w:r>
        <w:rPr>
          <w:rFonts w:ascii="宋体" w:hAnsi="宋体"/>
          <w:color w:val="auto"/>
          <w:szCs w:val="24"/>
        </w:rPr>
        <w:fldChar w:fldCharType="separate"/>
      </w:r>
      <w:r>
        <w:rPr>
          <w:rFonts w:hint="eastAsia" w:ascii="宋体" w:hAnsi="宋体"/>
          <w:color w:val="auto"/>
          <w:szCs w:val="28"/>
        </w:rPr>
        <w:t>一、项目概述</w:t>
      </w:r>
      <w:r>
        <w:rPr>
          <w:color w:val="auto"/>
        </w:rPr>
        <w:tab/>
      </w:r>
      <w:r>
        <w:rPr>
          <w:color w:val="auto"/>
        </w:rPr>
        <w:fldChar w:fldCharType="begin"/>
      </w:r>
      <w:r>
        <w:rPr>
          <w:color w:val="auto"/>
        </w:rPr>
        <w:instrText xml:space="preserve"> PAGEREF _Toc17182 \h </w:instrText>
      </w:r>
      <w:r>
        <w:rPr>
          <w:color w:val="auto"/>
        </w:rPr>
        <w:fldChar w:fldCharType="separate"/>
      </w:r>
      <w:r>
        <w:rPr>
          <w:color w:val="auto"/>
        </w:rPr>
        <w:t>38</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_Toc22437 </w:instrText>
      </w:r>
      <w:r>
        <w:rPr>
          <w:rFonts w:ascii="宋体" w:hAnsi="宋体"/>
          <w:color w:val="auto"/>
          <w:szCs w:val="24"/>
        </w:rPr>
        <w:fldChar w:fldCharType="separate"/>
      </w:r>
      <w:r>
        <w:rPr>
          <w:rFonts w:hint="eastAsia" w:ascii="宋体" w:hAnsi="宋体"/>
          <w:color w:val="auto"/>
          <w:szCs w:val="28"/>
        </w:rPr>
        <w:t>二、服务内容</w:t>
      </w:r>
      <w:r>
        <w:rPr>
          <w:rFonts w:hint="eastAsia" w:ascii="宋体" w:hAnsi="宋体"/>
          <w:color w:val="auto"/>
          <w:szCs w:val="28"/>
          <w:lang w:val="en-US" w:eastAsia="zh-CN"/>
        </w:rPr>
        <w:t>及</w:t>
      </w:r>
      <w:r>
        <w:rPr>
          <w:rFonts w:hint="eastAsia" w:ascii="宋体" w:hAnsi="宋体"/>
          <w:color w:val="auto"/>
          <w:szCs w:val="28"/>
        </w:rPr>
        <w:t>要求</w:t>
      </w:r>
      <w:r>
        <w:rPr>
          <w:color w:val="auto"/>
        </w:rPr>
        <w:tab/>
      </w:r>
      <w:r>
        <w:rPr>
          <w:color w:val="auto"/>
        </w:rPr>
        <w:fldChar w:fldCharType="begin"/>
      </w:r>
      <w:r>
        <w:rPr>
          <w:color w:val="auto"/>
        </w:rPr>
        <w:instrText xml:space="preserve"> PAGEREF _Toc22437 \h </w:instrText>
      </w:r>
      <w:r>
        <w:rPr>
          <w:color w:val="auto"/>
        </w:rPr>
        <w:fldChar w:fldCharType="separate"/>
      </w:r>
      <w:r>
        <w:rPr>
          <w:color w:val="auto"/>
        </w:rPr>
        <w:t>38</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_Toc20802 </w:instrText>
      </w:r>
      <w:r>
        <w:rPr>
          <w:rFonts w:ascii="宋体" w:hAnsi="宋体"/>
          <w:color w:val="auto"/>
          <w:szCs w:val="24"/>
        </w:rPr>
        <w:fldChar w:fldCharType="separate"/>
      </w:r>
      <w:r>
        <w:rPr>
          <w:rFonts w:hint="eastAsia" w:ascii="宋体" w:hAnsi="宋体"/>
          <w:color w:val="auto"/>
          <w:szCs w:val="28"/>
        </w:rPr>
        <w:t>三、服务期</w:t>
      </w:r>
      <w:r>
        <w:rPr>
          <w:color w:val="auto"/>
        </w:rPr>
        <w:tab/>
      </w:r>
      <w:r>
        <w:rPr>
          <w:color w:val="auto"/>
        </w:rPr>
        <w:fldChar w:fldCharType="begin"/>
      </w:r>
      <w:r>
        <w:rPr>
          <w:color w:val="auto"/>
        </w:rPr>
        <w:instrText xml:space="preserve"> PAGEREF _Toc20802 \h </w:instrText>
      </w:r>
      <w:r>
        <w:rPr>
          <w:color w:val="auto"/>
        </w:rPr>
        <w:fldChar w:fldCharType="separate"/>
      </w:r>
      <w:r>
        <w:rPr>
          <w:color w:val="auto"/>
        </w:rPr>
        <w:t>39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_Toc14465 </w:instrText>
      </w:r>
      <w:r>
        <w:rPr>
          <w:rFonts w:ascii="宋体" w:hAnsi="宋体"/>
          <w:color w:val="auto"/>
          <w:szCs w:val="24"/>
        </w:rPr>
        <w:fldChar w:fldCharType="separate"/>
      </w:r>
      <w:r>
        <w:rPr>
          <w:rFonts w:hint="eastAsia" w:ascii="宋体" w:hAnsi="宋体"/>
          <w:color w:val="auto"/>
          <w:szCs w:val="28"/>
        </w:rPr>
        <w:t>四、服务地点</w:t>
      </w:r>
      <w:r>
        <w:rPr>
          <w:color w:val="auto"/>
        </w:rPr>
        <w:tab/>
      </w:r>
      <w:r>
        <w:rPr>
          <w:color w:val="auto"/>
        </w:rPr>
        <w:fldChar w:fldCharType="begin"/>
      </w:r>
      <w:r>
        <w:rPr>
          <w:color w:val="auto"/>
        </w:rPr>
        <w:instrText xml:space="preserve"> PAGEREF _Toc14465 \h </w:instrText>
      </w:r>
      <w:r>
        <w:rPr>
          <w:color w:val="auto"/>
        </w:rPr>
        <w:fldChar w:fldCharType="separate"/>
      </w:r>
      <w:r>
        <w:rPr>
          <w:color w:val="auto"/>
        </w:rPr>
        <w:t>39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_Toc22893 </w:instrText>
      </w:r>
      <w:r>
        <w:rPr>
          <w:rFonts w:ascii="宋体" w:hAnsi="宋体"/>
          <w:color w:val="auto"/>
          <w:szCs w:val="24"/>
        </w:rPr>
        <w:fldChar w:fldCharType="separate"/>
      </w:r>
      <w:r>
        <w:rPr>
          <w:rFonts w:hint="eastAsia" w:ascii="宋体" w:hAnsi="宋体"/>
          <w:color w:val="auto"/>
          <w:szCs w:val="28"/>
        </w:rPr>
        <w:t>五、报价要求</w:t>
      </w:r>
      <w:r>
        <w:rPr>
          <w:color w:val="auto"/>
        </w:rPr>
        <w:tab/>
      </w:r>
      <w:r>
        <w:rPr>
          <w:color w:val="auto"/>
        </w:rPr>
        <w:fldChar w:fldCharType="begin"/>
      </w:r>
      <w:r>
        <w:rPr>
          <w:color w:val="auto"/>
        </w:rPr>
        <w:instrText xml:space="preserve"> PAGEREF _Toc22893 \h </w:instrText>
      </w:r>
      <w:r>
        <w:rPr>
          <w:color w:val="auto"/>
        </w:rPr>
        <w:fldChar w:fldCharType="separate"/>
      </w:r>
      <w:r>
        <w:rPr>
          <w:color w:val="auto"/>
        </w:rPr>
        <w:t>39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_Toc14816 </w:instrText>
      </w:r>
      <w:r>
        <w:rPr>
          <w:rFonts w:ascii="宋体" w:hAnsi="宋体"/>
          <w:color w:val="auto"/>
          <w:szCs w:val="24"/>
        </w:rPr>
        <w:fldChar w:fldCharType="separate"/>
      </w:r>
      <w:r>
        <w:rPr>
          <w:rFonts w:hint="eastAsia" w:ascii="宋体" w:hAnsi="宋体"/>
          <w:color w:val="auto"/>
          <w:szCs w:val="28"/>
        </w:rPr>
        <w:t>六、付款方式</w:t>
      </w:r>
      <w:r>
        <w:rPr>
          <w:color w:val="auto"/>
        </w:rPr>
        <w:tab/>
      </w:r>
      <w:r>
        <w:rPr>
          <w:color w:val="auto"/>
        </w:rPr>
        <w:fldChar w:fldCharType="begin"/>
      </w:r>
      <w:r>
        <w:rPr>
          <w:color w:val="auto"/>
        </w:rPr>
        <w:instrText xml:space="preserve"> PAGEREF _Toc14816 \h </w:instrText>
      </w:r>
      <w:r>
        <w:rPr>
          <w:color w:val="auto"/>
        </w:rPr>
        <w:fldChar w:fldCharType="separate"/>
      </w:r>
      <w:r>
        <w:rPr>
          <w:color w:val="auto"/>
        </w:rPr>
        <w:t>39</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_Toc14672 </w:instrText>
      </w:r>
      <w:r>
        <w:rPr>
          <w:rFonts w:ascii="宋体" w:hAnsi="宋体"/>
          <w:color w:val="auto"/>
          <w:szCs w:val="24"/>
        </w:rPr>
        <w:fldChar w:fldCharType="separate"/>
      </w:r>
      <w:r>
        <w:rPr>
          <w:rFonts w:hint="eastAsia" w:ascii="宋体" w:hAnsi="宋体"/>
          <w:color w:val="auto"/>
          <w:szCs w:val="28"/>
        </w:rPr>
        <w:t>七、质量保证</w:t>
      </w:r>
      <w:r>
        <w:rPr>
          <w:color w:val="auto"/>
        </w:rPr>
        <w:tab/>
      </w:r>
      <w:r>
        <w:rPr>
          <w:color w:val="auto"/>
        </w:rPr>
        <w:fldChar w:fldCharType="begin"/>
      </w:r>
      <w:r>
        <w:rPr>
          <w:color w:val="auto"/>
        </w:rPr>
        <w:instrText xml:space="preserve"> PAGEREF _Toc14672 \h </w:instrText>
      </w:r>
      <w:r>
        <w:rPr>
          <w:color w:val="auto"/>
        </w:rPr>
        <w:fldChar w:fldCharType="separate"/>
      </w:r>
      <w:r>
        <w:rPr>
          <w:color w:val="auto"/>
        </w:rPr>
        <w:t>40</w:t>
      </w:r>
      <w:r>
        <w:rPr>
          <w:color w:val="auto"/>
        </w:rPr>
        <w:fldChar w:fldCharType="end"/>
      </w:r>
      <w:r>
        <w:rPr>
          <w:rFonts w:ascii="宋体" w:hAnsi="宋体"/>
          <w:color w:val="auto"/>
          <w:szCs w:val="24"/>
        </w:rPr>
        <w:fldChar w:fldCharType="end"/>
      </w:r>
    </w:p>
    <w:p>
      <w:pPr>
        <w:pStyle w:val="25"/>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_Toc22871 </w:instrText>
      </w:r>
      <w:r>
        <w:rPr>
          <w:rFonts w:ascii="宋体" w:hAnsi="宋体"/>
          <w:color w:val="auto"/>
          <w:szCs w:val="24"/>
        </w:rPr>
        <w:fldChar w:fldCharType="separate"/>
      </w:r>
      <w:r>
        <w:rPr>
          <w:rFonts w:hint="eastAsia" w:ascii="宋体" w:hAnsi="宋体"/>
          <w:color w:val="auto"/>
          <w:szCs w:val="28"/>
        </w:rPr>
        <w:t>八</w:t>
      </w:r>
      <w:r>
        <w:rPr>
          <w:rFonts w:ascii="宋体" w:hAnsi="宋体"/>
          <w:color w:val="auto"/>
          <w:szCs w:val="28"/>
        </w:rPr>
        <w:t>、合同签订</w:t>
      </w:r>
      <w:r>
        <w:rPr>
          <w:color w:val="auto"/>
        </w:rPr>
        <w:tab/>
      </w:r>
      <w:r>
        <w:rPr>
          <w:color w:val="auto"/>
        </w:rPr>
        <w:fldChar w:fldCharType="begin"/>
      </w:r>
      <w:r>
        <w:rPr>
          <w:color w:val="auto"/>
        </w:rPr>
        <w:instrText xml:space="preserve"> PAGEREF _Toc22871 \h </w:instrText>
      </w:r>
      <w:r>
        <w:rPr>
          <w:color w:val="auto"/>
        </w:rPr>
        <w:fldChar w:fldCharType="separate"/>
      </w:r>
      <w:r>
        <w:rPr>
          <w:color w:val="auto"/>
        </w:rPr>
        <w:t>42</w:t>
      </w:r>
      <w:r>
        <w:rPr>
          <w:color w:val="auto"/>
        </w:rPr>
        <w:fldChar w:fldCharType="end"/>
      </w:r>
      <w:r>
        <w:rPr>
          <w:rFonts w:ascii="宋体" w:hAnsi="宋体"/>
          <w:color w:val="auto"/>
          <w:szCs w:val="24"/>
        </w:rPr>
        <w:fldChar w:fldCharType="end"/>
      </w:r>
    </w:p>
    <w:p>
      <w:pPr>
        <w:pStyle w:val="22"/>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_Toc23597 </w:instrText>
      </w:r>
      <w:r>
        <w:rPr>
          <w:rFonts w:ascii="宋体" w:hAnsi="宋体"/>
          <w:color w:val="auto"/>
          <w:szCs w:val="24"/>
        </w:rPr>
        <w:fldChar w:fldCharType="separate"/>
      </w:r>
      <w:r>
        <w:rPr>
          <w:rFonts w:ascii="宋体" w:hAnsi="宋体"/>
          <w:bCs/>
          <w:color w:val="auto"/>
          <w:szCs w:val="36"/>
        </w:rPr>
        <w:t>第</w:t>
      </w:r>
      <w:r>
        <w:rPr>
          <w:rFonts w:hint="eastAsia" w:ascii="宋体" w:hAnsi="宋体"/>
          <w:bCs/>
          <w:color w:val="auto"/>
          <w:szCs w:val="36"/>
        </w:rPr>
        <w:t>四章  采购合同（参考文本）</w:t>
      </w:r>
      <w:r>
        <w:rPr>
          <w:color w:val="auto"/>
        </w:rPr>
        <w:tab/>
      </w:r>
      <w:r>
        <w:rPr>
          <w:color w:val="auto"/>
        </w:rPr>
        <w:fldChar w:fldCharType="begin"/>
      </w:r>
      <w:r>
        <w:rPr>
          <w:color w:val="auto"/>
        </w:rPr>
        <w:instrText xml:space="preserve"> PAGEREF _Toc23597 \h </w:instrText>
      </w:r>
      <w:r>
        <w:rPr>
          <w:color w:val="auto"/>
        </w:rPr>
        <w:fldChar w:fldCharType="separate"/>
      </w:r>
      <w:r>
        <w:rPr>
          <w:color w:val="auto"/>
        </w:rPr>
        <w:t>43</w:t>
      </w:r>
      <w:r>
        <w:rPr>
          <w:color w:val="auto"/>
        </w:rPr>
        <w:fldChar w:fldCharType="end"/>
      </w:r>
      <w:r>
        <w:rPr>
          <w:rFonts w:ascii="宋体" w:hAnsi="宋体"/>
          <w:color w:val="auto"/>
          <w:szCs w:val="24"/>
        </w:rPr>
        <w:fldChar w:fldCharType="end"/>
      </w:r>
    </w:p>
    <w:p>
      <w:pPr>
        <w:pStyle w:val="22"/>
        <w:tabs>
          <w:tab w:val="right" w:leader="dot" w:pos="8312"/>
        </w:tabs>
        <w:rPr>
          <w:color w:val="auto"/>
        </w:rPr>
      </w:pPr>
      <w:r>
        <w:rPr>
          <w:rFonts w:ascii="宋体" w:hAnsi="宋体"/>
          <w:color w:val="auto"/>
          <w:szCs w:val="24"/>
        </w:rPr>
        <w:fldChar w:fldCharType="begin"/>
      </w:r>
      <w:r>
        <w:rPr>
          <w:rFonts w:ascii="宋体" w:hAnsi="宋体"/>
          <w:color w:val="auto"/>
          <w:szCs w:val="24"/>
        </w:rPr>
        <w:instrText xml:space="preserve"> HYPERLINK \l _Toc12568 </w:instrText>
      </w:r>
      <w:r>
        <w:rPr>
          <w:rFonts w:ascii="宋体" w:hAnsi="宋体"/>
          <w:color w:val="auto"/>
          <w:szCs w:val="24"/>
        </w:rPr>
        <w:fldChar w:fldCharType="separate"/>
      </w:r>
      <w:r>
        <w:rPr>
          <w:rFonts w:hint="eastAsia" w:ascii="宋体" w:hAnsi="宋体"/>
          <w:bCs/>
          <w:color w:val="auto"/>
          <w:szCs w:val="36"/>
        </w:rPr>
        <w:t>第五章  报价文件格式</w:t>
      </w:r>
      <w:r>
        <w:rPr>
          <w:color w:val="auto"/>
        </w:rPr>
        <w:tab/>
      </w:r>
      <w:r>
        <w:rPr>
          <w:color w:val="auto"/>
        </w:rPr>
        <w:fldChar w:fldCharType="begin"/>
      </w:r>
      <w:r>
        <w:rPr>
          <w:color w:val="auto"/>
        </w:rPr>
        <w:instrText xml:space="preserve"> PAGEREF _Toc12568 \h </w:instrText>
      </w:r>
      <w:r>
        <w:rPr>
          <w:color w:val="auto"/>
        </w:rPr>
        <w:fldChar w:fldCharType="separate"/>
      </w:r>
      <w:r>
        <w:rPr>
          <w:color w:val="auto"/>
        </w:rPr>
        <w:t>47</w:t>
      </w:r>
      <w:r>
        <w:rPr>
          <w:color w:val="auto"/>
        </w:rPr>
        <w:fldChar w:fldCharType="end"/>
      </w:r>
      <w:r>
        <w:rPr>
          <w:rFonts w:ascii="宋体" w:hAnsi="宋体"/>
          <w:color w:val="auto"/>
          <w:szCs w:val="24"/>
        </w:rPr>
        <w:fldChar w:fldCharType="end"/>
      </w:r>
    </w:p>
    <w:p>
      <w:pPr>
        <w:pStyle w:val="22"/>
        <w:tabs>
          <w:tab w:val="right" w:leader="dot" w:pos="8312"/>
        </w:tabs>
        <w:rPr>
          <w:color w:val="auto"/>
        </w:rPr>
      </w:pPr>
    </w:p>
    <w:p>
      <w:pPr>
        <w:pStyle w:val="25"/>
        <w:tabs>
          <w:tab w:val="right" w:leader="dot" w:pos="8302"/>
        </w:tabs>
        <w:wordWrap w:val="0"/>
        <w:ind w:left="420"/>
        <w:rPr>
          <w:rFonts w:ascii="宋体" w:hAnsi="宋体"/>
          <w:color w:val="auto"/>
          <w:sz w:val="21"/>
          <w:szCs w:val="22"/>
        </w:rPr>
      </w:pPr>
      <w:r>
        <w:rPr>
          <w:rFonts w:ascii="宋体" w:hAnsi="宋体"/>
          <w:color w:val="auto"/>
          <w:szCs w:val="24"/>
        </w:rPr>
        <w:fldChar w:fldCharType="end"/>
      </w:r>
    </w:p>
    <w:p>
      <w:pPr>
        <w:keepNext/>
        <w:keepLines/>
        <w:pageBreakBefore/>
        <w:widowControl/>
        <w:wordWrap w:val="0"/>
        <w:spacing w:line="360" w:lineRule="auto"/>
        <w:jc w:val="center"/>
        <w:outlineLvl w:val="0"/>
        <w:rPr>
          <w:rFonts w:ascii="宋体" w:hAnsi="宋体"/>
          <w:b/>
          <w:bCs/>
          <w:color w:val="auto"/>
          <w:sz w:val="36"/>
          <w:szCs w:val="36"/>
        </w:rPr>
      </w:pPr>
      <w:bookmarkStart w:id="0" w:name="_Toc10841"/>
      <w:bookmarkStart w:id="1" w:name="_Toc17590"/>
      <w:bookmarkStart w:id="2" w:name="_Toc0"/>
      <w:bookmarkStart w:id="3" w:name="_Toc2044"/>
      <w:bookmarkStart w:id="4" w:name="_Toc27306"/>
      <w:bookmarkStart w:id="5" w:name="_Toc25980"/>
      <w:bookmarkStart w:id="6" w:name="_Toc4721"/>
      <w:bookmarkStart w:id="7" w:name="_Toc25658"/>
      <w:bookmarkStart w:id="8" w:name="_Toc78368502"/>
      <w:r>
        <w:rPr>
          <w:rFonts w:hint="eastAsia" w:ascii="宋体" w:hAnsi="宋体"/>
          <w:b/>
          <w:bCs/>
          <w:color w:val="auto"/>
          <w:sz w:val="36"/>
          <w:szCs w:val="36"/>
        </w:rPr>
        <w:t>第一章  磋商邀请</w:t>
      </w:r>
      <w:bookmarkEnd w:id="0"/>
      <w:bookmarkEnd w:id="1"/>
      <w:bookmarkEnd w:id="2"/>
      <w:bookmarkEnd w:id="3"/>
      <w:bookmarkEnd w:id="4"/>
      <w:bookmarkEnd w:id="5"/>
      <w:bookmarkEnd w:id="6"/>
      <w:bookmarkEnd w:id="7"/>
      <w:bookmarkEnd w:id="8"/>
    </w:p>
    <w:p>
      <w:pPr>
        <w:wordWrap w:val="0"/>
        <w:spacing w:line="360" w:lineRule="auto"/>
        <w:ind w:firstLine="481" w:firstLineChars="200"/>
        <w:rPr>
          <w:rFonts w:ascii="宋体" w:hAnsi="宋体"/>
          <w:color w:val="auto"/>
          <w:sz w:val="24"/>
          <w:szCs w:val="24"/>
        </w:rPr>
      </w:pPr>
      <w:r>
        <w:rPr>
          <w:rFonts w:hint="eastAsia" w:ascii="宋体" w:hAnsi="宋体"/>
          <w:b/>
          <w:color w:val="auto"/>
          <w:sz w:val="24"/>
          <w:szCs w:val="24"/>
          <w:u w:val="single"/>
        </w:rPr>
        <w:t>建信发展（厦门）采购招标有限公司</w:t>
      </w:r>
      <w:r>
        <w:rPr>
          <w:rFonts w:hint="eastAsia" w:ascii="宋体" w:hAnsi="宋体" w:cs="Arial"/>
          <w:bCs/>
          <w:color w:val="auto"/>
          <w:sz w:val="24"/>
          <w:szCs w:val="24"/>
        </w:rPr>
        <w:t>受采购人</w:t>
      </w:r>
      <w:r>
        <w:rPr>
          <w:rFonts w:hint="eastAsia" w:ascii="宋体" w:hAnsi="宋体"/>
          <w:b/>
          <w:color w:val="auto"/>
          <w:sz w:val="24"/>
          <w:szCs w:val="24"/>
          <w:u w:val="single"/>
        </w:rPr>
        <w:t>厦门市城市管理行政执法局</w:t>
      </w:r>
      <w:r>
        <w:rPr>
          <w:rFonts w:ascii="宋体" w:hAnsi="宋体" w:cs="Arial"/>
          <w:bCs/>
          <w:color w:val="auto"/>
          <w:sz w:val="24"/>
          <w:szCs w:val="24"/>
        </w:rPr>
        <w:t>委托，</w:t>
      </w:r>
      <w:r>
        <w:rPr>
          <w:rFonts w:hint="eastAsia" w:ascii="宋体" w:hAnsi="宋体"/>
          <w:bCs/>
          <w:color w:val="auto"/>
          <w:sz w:val="24"/>
          <w:szCs w:val="24"/>
        </w:rPr>
        <w:t>对</w:t>
      </w:r>
      <w:r>
        <w:rPr>
          <w:rFonts w:hint="eastAsia" w:ascii="宋体" w:hAnsi="宋体"/>
          <w:bCs/>
          <w:color w:val="auto"/>
          <w:sz w:val="24"/>
          <w:szCs w:val="24"/>
          <w:u w:val="single"/>
        </w:rPr>
        <w:t>【</w:t>
      </w:r>
      <w:r>
        <w:rPr>
          <w:rFonts w:hint="eastAsia" w:ascii="宋体" w:hAnsi="宋体"/>
          <w:b/>
          <w:bCs/>
          <w:color w:val="auto"/>
          <w:sz w:val="24"/>
          <w:szCs w:val="24"/>
          <w:u w:val="single"/>
          <w:lang w:eastAsia="zh-CN"/>
        </w:rPr>
        <w:t>厦门市城市管理行政执法局专职法律顾问助理服务采购</w:t>
      </w:r>
      <w:r>
        <w:rPr>
          <w:rFonts w:hint="eastAsia" w:ascii="宋体" w:hAnsi="宋体"/>
          <w:bCs/>
          <w:color w:val="auto"/>
          <w:sz w:val="24"/>
          <w:szCs w:val="24"/>
          <w:u w:val="single"/>
        </w:rPr>
        <w:t>】</w:t>
      </w:r>
      <w:r>
        <w:rPr>
          <w:rFonts w:hint="eastAsia" w:ascii="宋体" w:hAnsi="宋体"/>
          <w:bCs/>
          <w:color w:val="auto"/>
          <w:sz w:val="24"/>
          <w:szCs w:val="24"/>
        </w:rPr>
        <w:t>的采购采用</w:t>
      </w:r>
      <w:r>
        <w:rPr>
          <w:rFonts w:hint="eastAsia" w:ascii="宋体" w:hAnsi="宋体"/>
          <w:b/>
          <w:color w:val="auto"/>
          <w:sz w:val="24"/>
          <w:szCs w:val="24"/>
          <w:u w:val="single"/>
        </w:rPr>
        <w:t>竞争性磋商方式</w:t>
      </w:r>
      <w:r>
        <w:rPr>
          <w:rFonts w:hint="eastAsia" w:ascii="宋体" w:hAnsi="宋体"/>
          <w:bCs/>
          <w:color w:val="auto"/>
          <w:sz w:val="24"/>
          <w:szCs w:val="24"/>
        </w:rPr>
        <w:t>进行。现欢迎国内合格</w:t>
      </w:r>
      <w:r>
        <w:rPr>
          <w:rFonts w:hint="eastAsia" w:ascii="宋体" w:hAnsi="宋体"/>
          <w:color w:val="auto"/>
          <w:sz w:val="24"/>
          <w:szCs w:val="24"/>
        </w:rPr>
        <w:t>报价人密封提交报价文件。</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s="Arial"/>
          <w:color w:val="auto"/>
          <w:sz w:val="24"/>
          <w:szCs w:val="24"/>
        </w:rPr>
        <w:t>项目</w:t>
      </w:r>
      <w:r>
        <w:rPr>
          <w:rFonts w:ascii="宋体" w:hAnsi="宋体" w:cs="Arial"/>
          <w:color w:val="auto"/>
          <w:sz w:val="24"/>
          <w:szCs w:val="24"/>
        </w:rPr>
        <w:t>编号</w:t>
      </w:r>
      <w:r>
        <w:rPr>
          <w:rFonts w:hint="eastAsia" w:ascii="宋体" w:hAnsi="宋体"/>
          <w:color w:val="auto"/>
          <w:sz w:val="24"/>
          <w:szCs w:val="24"/>
        </w:rPr>
        <w:t>：</w:t>
      </w:r>
      <w:r>
        <w:rPr>
          <w:rFonts w:hint="eastAsia" w:ascii="宋体" w:hAnsi="宋体"/>
          <w:b/>
          <w:bCs/>
          <w:color w:val="auto"/>
          <w:sz w:val="24"/>
          <w:szCs w:val="24"/>
          <w:u w:val="single"/>
          <w:lang w:eastAsia="zh-CN"/>
        </w:rPr>
        <w:t>JXFZ2023-XM0217</w:t>
      </w:r>
      <w:r>
        <w:rPr>
          <w:rFonts w:hint="eastAsia" w:ascii="宋体" w:hAnsi="宋体"/>
          <w:color w:val="auto"/>
          <w:sz w:val="24"/>
          <w:szCs w:val="24"/>
        </w:rPr>
        <w:t>。</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2、采购项目</w:t>
      </w:r>
      <w:r>
        <w:rPr>
          <w:rFonts w:ascii="宋体" w:hAnsi="宋体"/>
          <w:color w:val="auto"/>
          <w:sz w:val="24"/>
          <w:szCs w:val="24"/>
        </w:rPr>
        <w:t>名称、数量及主要技术规格：见</w:t>
      </w:r>
      <w:r>
        <w:rPr>
          <w:rFonts w:hint="eastAsia" w:ascii="宋体" w:hAnsi="宋体"/>
          <w:color w:val="auto"/>
          <w:sz w:val="24"/>
          <w:szCs w:val="24"/>
        </w:rPr>
        <w:t>后附“采购项目</w:t>
      </w:r>
      <w:r>
        <w:rPr>
          <w:rFonts w:ascii="宋体" w:hAnsi="宋体"/>
          <w:color w:val="auto"/>
          <w:sz w:val="24"/>
          <w:szCs w:val="24"/>
        </w:rPr>
        <w:t>一览表</w:t>
      </w:r>
      <w:r>
        <w:rPr>
          <w:rFonts w:hint="eastAsia" w:ascii="宋体" w:hAnsi="宋体"/>
          <w:color w:val="auto"/>
          <w:sz w:val="24"/>
          <w:szCs w:val="24"/>
        </w:rPr>
        <w:t>”。</w:t>
      </w:r>
    </w:p>
    <w:p>
      <w:pPr>
        <w:wordWrap w:val="0"/>
        <w:spacing w:line="360" w:lineRule="auto"/>
        <w:ind w:left="210" w:leftChars="100" w:firstLine="240" w:firstLineChars="100"/>
        <w:rPr>
          <w:rFonts w:ascii="宋体" w:hAnsi="宋体"/>
          <w:color w:val="auto"/>
          <w:sz w:val="24"/>
          <w:szCs w:val="24"/>
        </w:rPr>
      </w:pPr>
      <w:r>
        <w:rPr>
          <w:rFonts w:hint="eastAsia" w:ascii="宋体" w:hAnsi="宋体"/>
          <w:color w:val="auto"/>
          <w:kern w:val="0"/>
          <w:sz w:val="24"/>
          <w:szCs w:val="24"/>
        </w:rPr>
        <w:t>3、</w:t>
      </w:r>
      <w:r>
        <w:rPr>
          <w:rFonts w:hint="eastAsia" w:ascii="宋体" w:hAnsi="宋体"/>
          <w:color w:val="auto"/>
          <w:sz w:val="24"/>
          <w:szCs w:val="24"/>
        </w:rPr>
        <w:t>采购文件获取方式：在线获取，</w:t>
      </w:r>
      <w:r>
        <w:rPr>
          <w:rFonts w:hint="eastAsia" w:ascii="宋体" w:hAnsi="宋体"/>
          <w:b/>
          <w:bCs/>
          <w:color w:val="auto"/>
          <w:sz w:val="24"/>
          <w:szCs w:val="24"/>
        </w:rPr>
        <w:t>202</w:t>
      </w:r>
      <w:r>
        <w:rPr>
          <w:rFonts w:ascii="宋体" w:hAnsi="宋体"/>
          <w:b/>
          <w:bCs/>
          <w:color w:val="auto"/>
          <w:sz w:val="24"/>
          <w:szCs w:val="24"/>
        </w:rPr>
        <w:t>3</w:t>
      </w:r>
      <w:r>
        <w:rPr>
          <w:rFonts w:hint="eastAsia" w:ascii="宋体" w:hAnsi="宋体"/>
          <w:b/>
          <w:bCs/>
          <w:color w:val="auto"/>
          <w:sz w:val="24"/>
          <w:szCs w:val="24"/>
        </w:rPr>
        <w:t>年</w:t>
      </w:r>
      <w:r>
        <w:rPr>
          <w:rFonts w:hint="eastAsia" w:ascii="宋体" w:hAnsi="宋体"/>
          <w:b/>
          <w:bCs/>
          <w:color w:val="auto"/>
          <w:sz w:val="24"/>
          <w:szCs w:val="24"/>
          <w:lang w:val="en-US" w:eastAsia="zh-CN"/>
        </w:rPr>
        <w:t>05</w:t>
      </w:r>
      <w:r>
        <w:rPr>
          <w:rFonts w:hint="eastAsia" w:ascii="宋体" w:hAnsi="宋体"/>
          <w:b/>
          <w:bCs/>
          <w:color w:val="auto"/>
          <w:sz w:val="24"/>
          <w:szCs w:val="24"/>
        </w:rPr>
        <w:t>月</w:t>
      </w:r>
      <w:del w:id="1" w:author="FYD" w:date="2023-05-25T16:17:27Z">
        <w:r>
          <w:rPr>
            <w:rFonts w:hint="default" w:ascii="宋体" w:hAnsi="宋体"/>
            <w:b/>
            <w:bCs/>
            <w:color w:val="auto"/>
            <w:sz w:val="24"/>
            <w:szCs w:val="24"/>
            <w:lang w:val="en-US" w:eastAsia="zh-CN"/>
          </w:rPr>
          <w:delText xml:space="preserve"> </w:delText>
        </w:r>
      </w:del>
      <w:ins w:id="2" w:author="FYD" w:date="2023-05-25T16:17:27Z">
        <w:r>
          <w:rPr>
            <w:rFonts w:hint="eastAsia" w:ascii="宋体" w:hAnsi="宋体"/>
            <w:b/>
            <w:bCs/>
            <w:color w:val="auto"/>
            <w:sz w:val="24"/>
            <w:szCs w:val="24"/>
            <w:lang w:val="en-US" w:eastAsia="zh-CN"/>
          </w:rPr>
          <w:t>26</w:t>
        </w:r>
      </w:ins>
      <w:r>
        <w:rPr>
          <w:rFonts w:hint="eastAsia" w:ascii="宋体" w:hAnsi="宋体"/>
          <w:b/>
          <w:bCs/>
          <w:color w:val="auto"/>
          <w:sz w:val="24"/>
          <w:szCs w:val="24"/>
        </w:rPr>
        <w:t>日至202</w:t>
      </w:r>
      <w:r>
        <w:rPr>
          <w:rFonts w:ascii="宋体" w:hAnsi="宋体"/>
          <w:b/>
          <w:bCs/>
          <w:color w:val="auto"/>
          <w:sz w:val="24"/>
          <w:szCs w:val="24"/>
        </w:rPr>
        <w:t>3</w:t>
      </w:r>
      <w:r>
        <w:rPr>
          <w:rFonts w:hint="eastAsia" w:ascii="宋体" w:hAnsi="宋体"/>
          <w:b/>
          <w:bCs/>
          <w:color w:val="auto"/>
          <w:sz w:val="24"/>
          <w:szCs w:val="24"/>
        </w:rPr>
        <w:t>年</w:t>
      </w:r>
      <w:r>
        <w:rPr>
          <w:rFonts w:hint="eastAsia" w:ascii="宋体" w:hAnsi="宋体"/>
          <w:b/>
          <w:bCs/>
          <w:color w:val="auto"/>
          <w:sz w:val="24"/>
          <w:szCs w:val="24"/>
          <w:lang w:val="en-US" w:eastAsia="zh-CN"/>
        </w:rPr>
        <w:t>0</w:t>
      </w:r>
      <w:del w:id="3" w:author="FYD" w:date="2023-05-25T16:17:35Z">
        <w:r>
          <w:rPr>
            <w:rFonts w:hint="default" w:ascii="宋体" w:hAnsi="宋体"/>
            <w:b/>
            <w:bCs/>
            <w:color w:val="auto"/>
            <w:sz w:val="24"/>
            <w:szCs w:val="24"/>
            <w:lang w:val="en-US" w:eastAsia="zh-CN"/>
          </w:rPr>
          <w:delText>5</w:delText>
        </w:r>
      </w:del>
      <w:ins w:id="4" w:author="FYD" w:date="2023-05-25T16:17:35Z">
        <w:r>
          <w:rPr>
            <w:rFonts w:hint="eastAsia" w:ascii="宋体" w:hAnsi="宋体"/>
            <w:b/>
            <w:bCs/>
            <w:color w:val="auto"/>
            <w:sz w:val="24"/>
            <w:szCs w:val="24"/>
            <w:lang w:val="en-US" w:eastAsia="zh-CN"/>
          </w:rPr>
          <w:t>6</w:t>
        </w:r>
      </w:ins>
      <w:r>
        <w:rPr>
          <w:rFonts w:hint="eastAsia" w:ascii="宋体" w:hAnsi="宋体"/>
          <w:b/>
          <w:bCs/>
          <w:color w:val="auto"/>
          <w:sz w:val="24"/>
          <w:szCs w:val="24"/>
        </w:rPr>
        <w:t>月</w:t>
      </w:r>
      <w:del w:id="5" w:author="FYD" w:date="2023-05-25T16:17:37Z">
        <w:r>
          <w:rPr>
            <w:rFonts w:hint="default" w:ascii="宋体" w:hAnsi="宋体"/>
            <w:b/>
            <w:bCs/>
            <w:color w:val="auto"/>
            <w:sz w:val="24"/>
            <w:szCs w:val="24"/>
            <w:lang w:val="en-US" w:eastAsia="zh-CN"/>
          </w:rPr>
          <w:delText xml:space="preserve"> </w:delText>
        </w:r>
      </w:del>
      <w:ins w:id="6" w:author="FYD" w:date="2023-05-25T16:17:37Z">
        <w:r>
          <w:rPr>
            <w:rFonts w:hint="eastAsia" w:ascii="宋体" w:hAnsi="宋体"/>
            <w:b/>
            <w:bCs/>
            <w:color w:val="auto"/>
            <w:sz w:val="24"/>
            <w:szCs w:val="24"/>
            <w:lang w:val="en-US" w:eastAsia="zh-CN"/>
          </w:rPr>
          <w:t>02</w:t>
        </w:r>
      </w:ins>
      <w:r>
        <w:rPr>
          <w:rFonts w:hint="eastAsia" w:ascii="宋体" w:hAnsi="宋体"/>
          <w:b/>
          <w:bCs/>
          <w:color w:val="auto"/>
          <w:sz w:val="24"/>
          <w:szCs w:val="24"/>
        </w:rPr>
        <w:t>日</w:t>
      </w:r>
      <w:r>
        <w:rPr>
          <w:rFonts w:hint="eastAsia" w:ascii="宋体" w:hAnsi="宋体"/>
          <w:color w:val="auto"/>
          <w:sz w:val="24"/>
          <w:szCs w:val="24"/>
        </w:rPr>
        <w:t>，请登录《建信招标采购平台》（网址：https://www.fjbidding.com/）进行实名登记，缴费成功之后，即可在线下载标书，成功下载即为获取文件成功。（供应商如未在系统中注册的，请按系统要求注册后方可获取文件，注册免费，且注册后可直接在线预览项目标书主要内容。注册网址：https://www.fjbidding.com/register/supplier，对平台操作有任何疑问，请联系客服电话：0592-5856311。）联系人：张小姐，电话：0592-5856311，传真：0592-5856938。</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4、采购文件售价：人民币</w:t>
      </w:r>
      <w:r>
        <w:rPr>
          <w:rFonts w:hint="eastAsia" w:ascii="宋体" w:hAnsi="宋体"/>
          <w:color w:val="auto"/>
          <w:sz w:val="24"/>
          <w:szCs w:val="24"/>
          <w:lang w:val="en-US" w:eastAsia="zh-CN"/>
        </w:rPr>
        <w:t>50</w:t>
      </w:r>
      <w:r>
        <w:rPr>
          <w:rFonts w:hint="eastAsia" w:ascii="宋体" w:hAnsi="宋体"/>
          <w:color w:val="auto"/>
          <w:sz w:val="24"/>
          <w:szCs w:val="24"/>
        </w:rPr>
        <w:t>元，售后不退。</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ascii="宋体" w:hAnsi="宋体" w:cs="Arial"/>
          <w:color w:val="auto"/>
          <w:sz w:val="24"/>
          <w:szCs w:val="24"/>
        </w:rPr>
        <w:t>报价文件</w:t>
      </w:r>
      <w:r>
        <w:rPr>
          <w:rFonts w:hint="eastAsia" w:ascii="宋体" w:hAnsi="宋体" w:cs="Arial"/>
          <w:color w:val="auto"/>
          <w:sz w:val="24"/>
          <w:szCs w:val="24"/>
        </w:rPr>
        <w:t>提交</w:t>
      </w:r>
      <w:r>
        <w:rPr>
          <w:rFonts w:ascii="宋体" w:hAnsi="宋体" w:cs="Arial"/>
          <w:color w:val="auto"/>
          <w:sz w:val="24"/>
          <w:szCs w:val="24"/>
        </w:rPr>
        <w:t>截止时间</w:t>
      </w:r>
      <w:r>
        <w:rPr>
          <w:rFonts w:hint="eastAsia" w:ascii="宋体" w:hAnsi="宋体" w:cs="Arial"/>
          <w:color w:val="auto"/>
          <w:sz w:val="24"/>
          <w:szCs w:val="24"/>
        </w:rPr>
        <w:t>：</w:t>
      </w:r>
      <w:r>
        <w:rPr>
          <w:rFonts w:hint="eastAsia" w:ascii="宋体" w:hAnsi="宋体"/>
          <w:color w:val="auto"/>
          <w:sz w:val="24"/>
          <w:szCs w:val="24"/>
        </w:rPr>
        <w:t>报价文件应于</w:t>
      </w:r>
      <w:r>
        <w:rPr>
          <w:rFonts w:hint="eastAsia" w:ascii="宋体" w:hAnsi="宋体"/>
          <w:b/>
          <w:bCs/>
          <w:color w:val="auto"/>
          <w:sz w:val="24"/>
          <w:szCs w:val="24"/>
          <w:u w:val="single"/>
        </w:rPr>
        <w:t>202</w:t>
      </w:r>
      <w:r>
        <w:rPr>
          <w:rFonts w:ascii="宋体" w:hAnsi="宋体"/>
          <w:b/>
          <w:bCs/>
          <w:color w:val="auto"/>
          <w:sz w:val="24"/>
          <w:szCs w:val="24"/>
          <w:u w:val="single"/>
        </w:rPr>
        <w:t>3</w:t>
      </w:r>
      <w:r>
        <w:rPr>
          <w:rFonts w:hint="eastAsia" w:ascii="宋体" w:hAnsi="宋体"/>
          <w:b/>
          <w:bCs/>
          <w:color w:val="auto"/>
          <w:sz w:val="24"/>
          <w:szCs w:val="24"/>
          <w:u w:val="single"/>
        </w:rPr>
        <w:t>年</w:t>
      </w:r>
      <w:r>
        <w:rPr>
          <w:rFonts w:hint="eastAsia" w:ascii="宋体" w:hAnsi="宋体"/>
          <w:b/>
          <w:bCs/>
          <w:color w:val="auto"/>
          <w:sz w:val="24"/>
          <w:szCs w:val="24"/>
          <w:u w:val="single"/>
          <w:lang w:val="en-US" w:eastAsia="zh-CN"/>
        </w:rPr>
        <w:t>06</w:t>
      </w:r>
      <w:r>
        <w:rPr>
          <w:rFonts w:hint="eastAsia" w:ascii="宋体" w:hAnsi="宋体"/>
          <w:b/>
          <w:bCs/>
          <w:color w:val="auto"/>
          <w:sz w:val="24"/>
          <w:szCs w:val="24"/>
          <w:u w:val="single"/>
        </w:rPr>
        <w:t>月</w:t>
      </w:r>
      <w:del w:id="7" w:author="FYD" w:date="2023-05-25T16:18:00Z">
        <w:r>
          <w:rPr>
            <w:rFonts w:hint="default" w:ascii="宋体" w:hAnsi="宋体"/>
            <w:b/>
            <w:bCs/>
            <w:color w:val="auto"/>
            <w:sz w:val="24"/>
            <w:szCs w:val="24"/>
            <w:u w:val="single"/>
            <w:lang w:val="en-US" w:eastAsia="zh-CN"/>
          </w:rPr>
          <w:delText xml:space="preserve"> </w:delText>
        </w:r>
      </w:del>
      <w:ins w:id="8" w:author="FYD" w:date="2023-05-25T16:18:00Z">
        <w:r>
          <w:rPr>
            <w:rFonts w:hint="eastAsia" w:ascii="宋体" w:hAnsi="宋体"/>
            <w:b/>
            <w:bCs/>
            <w:color w:val="auto"/>
            <w:sz w:val="24"/>
            <w:szCs w:val="24"/>
            <w:u w:val="single"/>
            <w:lang w:val="en-US" w:eastAsia="zh-CN"/>
          </w:rPr>
          <w:t>05</w:t>
        </w:r>
      </w:ins>
      <w:r>
        <w:rPr>
          <w:rFonts w:hint="eastAsia" w:ascii="宋体" w:hAnsi="宋体"/>
          <w:b/>
          <w:bCs/>
          <w:color w:val="auto"/>
          <w:sz w:val="24"/>
          <w:szCs w:val="24"/>
          <w:u w:val="single"/>
        </w:rPr>
        <w:t>日</w:t>
      </w:r>
      <w:del w:id="9" w:author="FYD" w:date="2023-05-25T16:18:03Z">
        <w:r>
          <w:rPr>
            <w:rFonts w:hint="default" w:ascii="宋体" w:hAnsi="宋体"/>
            <w:b/>
            <w:bCs/>
            <w:color w:val="auto"/>
            <w:sz w:val="24"/>
            <w:szCs w:val="24"/>
            <w:u w:val="single"/>
            <w:lang w:val="en-US"/>
          </w:rPr>
          <w:delText>09</w:delText>
        </w:r>
      </w:del>
      <w:ins w:id="10" w:author="FYD" w:date="2023-05-25T16:18:03Z">
        <w:r>
          <w:rPr>
            <w:rFonts w:hint="eastAsia" w:ascii="宋体" w:hAnsi="宋体"/>
            <w:b/>
            <w:bCs/>
            <w:color w:val="auto"/>
            <w:sz w:val="24"/>
            <w:szCs w:val="24"/>
            <w:u w:val="single"/>
            <w:lang w:val="en-US" w:eastAsia="zh-CN"/>
          </w:rPr>
          <w:t>14</w:t>
        </w:r>
      </w:ins>
      <w:r>
        <w:rPr>
          <w:rFonts w:ascii="宋体" w:hAnsi="宋体"/>
          <w:b/>
          <w:bCs/>
          <w:color w:val="auto"/>
          <w:sz w:val="24"/>
          <w:szCs w:val="24"/>
          <w:u w:val="single"/>
        </w:rPr>
        <w:t>：30</w:t>
      </w:r>
      <w:r>
        <w:rPr>
          <w:rFonts w:hint="eastAsia" w:ascii="宋体" w:hAnsi="宋体"/>
          <w:b/>
          <w:bCs/>
          <w:color w:val="auto"/>
          <w:sz w:val="24"/>
          <w:szCs w:val="24"/>
          <w:u w:val="single"/>
        </w:rPr>
        <w:t>（北京时间）</w:t>
      </w:r>
      <w:r>
        <w:rPr>
          <w:rFonts w:hint="eastAsia" w:ascii="宋体" w:hAnsi="宋体"/>
          <w:color w:val="auto"/>
          <w:sz w:val="24"/>
          <w:szCs w:val="24"/>
        </w:rPr>
        <w:t>之前提交到</w:t>
      </w:r>
      <w:r>
        <w:rPr>
          <w:rFonts w:hint="eastAsia" w:ascii="宋体" w:hAnsi="宋体"/>
          <w:b/>
          <w:bCs/>
          <w:color w:val="auto"/>
          <w:sz w:val="24"/>
          <w:szCs w:val="24"/>
          <w:u w:val="single"/>
        </w:rPr>
        <w:t>建信发展（厦门）采购招标有限公司（厦门市思明区吕岭路1733号创想中心A座1801单元）开标厅</w:t>
      </w:r>
      <w:r>
        <w:rPr>
          <w:rFonts w:hint="eastAsia" w:ascii="宋体" w:hAnsi="宋体"/>
          <w:color w:val="auto"/>
          <w:sz w:val="24"/>
          <w:szCs w:val="24"/>
        </w:rPr>
        <w:t>。逾期收到的或不符合规定的报价文件将被拒绝。</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ascii="宋体" w:hAnsi="宋体" w:cs="Arial"/>
          <w:color w:val="auto"/>
          <w:sz w:val="24"/>
          <w:szCs w:val="24"/>
        </w:rPr>
        <w:t>磋商时间</w:t>
      </w:r>
      <w:r>
        <w:rPr>
          <w:rFonts w:hint="eastAsia" w:ascii="宋体" w:hAnsi="宋体"/>
          <w:color w:val="auto"/>
          <w:sz w:val="24"/>
          <w:szCs w:val="24"/>
        </w:rPr>
        <w:t>、地点：</w:t>
      </w:r>
      <w:r>
        <w:rPr>
          <w:rFonts w:hint="eastAsia" w:ascii="宋体" w:hAnsi="宋体"/>
          <w:b/>
          <w:bCs/>
          <w:color w:val="auto"/>
          <w:sz w:val="24"/>
          <w:szCs w:val="24"/>
          <w:u w:val="single"/>
        </w:rPr>
        <w:t>202</w:t>
      </w:r>
      <w:r>
        <w:rPr>
          <w:rFonts w:ascii="宋体" w:hAnsi="宋体"/>
          <w:b/>
          <w:bCs/>
          <w:color w:val="auto"/>
          <w:sz w:val="24"/>
          <w:szCs w:val="24"/>
          <w:u w:val="single"/>
        </w:rPr>
        <w:t>3</w:t>
      </w:r>
      <w:r>
        <w:rPr>
          <w:rFonts w:hint="eastAsia" w:ascii="宋体" w:hAnsi="宋体"/>
          <w:b/>
          <w:bCs/>
          <w:color w:val="auto"/>
          <w:sz w:val="24"/>
          <w:szCs w:val="24"/>
          <w:u w:val="single"/>
        </w:rPr>
        <w:t>年</w:t>
      </w:r>
      <w:r>
        <w:rPr>
          <w:rFonts w:hint="eastAsia" w:ascii="宋体" w:hAnsi="宋体"/>
          <w:b/>
          <w:bCs/>
          <w:color w:val="auto"/>
          <w:sz w:val="24"/>
          <w:szCs w:val="24"/>
          <w:u w:val="single"/>
          <w:lang w:val="en-US" w:eastAsia="zh-CN"/>
        </w:rPr>
        <w:t>06</w:t>
      </w:r>
      <w:r>
        <w:rPr>
          <w:rFonts w:hint="eastAsia" w:ascii="宋体" w:hAnsi="宋体"/>
          <w:b/>
          <w:bCs/>
          <w:color w:val="auto"/>
          <w:sz w:val="24"/>
          <w:szCs w:val="24"/>
          <w:u w:val="single"/>
        </w:rPr>
        <w:t>月</w:t>
      </w:r>
      <w:del w:id="11" w:author="FYD" w:date="2023-05-25T16:18:05Z">
        <w:r>
          <w:rPr>
            <w:rFonts w:hint="default" w:ascii="宋体" w:hAnsi="宋体"/>
            <w:b/>
            <w:bCs/>
            <w:color w:val="auto"/>
            <w:sz w:val="24"/>
            <w:szCs w:val="24"/>
            <w:u w:val="single"/>
            <w:lang w:val="en-US" w:eastAsia="zh-CN"/>
          </w:rPr>
          <w:delText xml:space="preserve"> </w:delText>
        </w:r>
      </w:del>
      <w:ins w:id="12" w:author="FYD" w:date="2023-05-25T16:18:05Z">
        <w:r>
          <w:rPr>
            <w:rFonts w:hint="eastAsia" w:ascii="宋体" w:hAnsi="宋体"/>
            <w:b/>
            <w:bCs/>
            <w:color w:val="auto"/>
            <w:sz w:val="24"/>
            <w:szCs w:val="24"/>
            <w:u w:val="single"/>
            <w:lang w:val="en-US" w:eastAsia="zh-CN"/>
          </w:rPr>
          <w:t>05</w:t>
        </w:r>
      </w:ins>
      <w:r>
        <w:rPr>
          <w:rFonts w:hint="eastAsia" w:ascii="宋体" w:hAnsi="宋体"/>
          <w:b/>
          <w:bCs/>
          <w:color w:val="auto"/>
          <w:sz w:val="24"/>
          <w:szCs w:val="24"/>
          <w:u w:val="single"/>
        </w:rPr>
        <w:t>日</w:t>
      </w:r>
      <w:del w:id="13" w:author="FYD" w:date="2023-05-25T16:18:07Z">
        <w:r>
          <w:rPr>
            <w:rFonts w:hint="default" w:ascii="宋体" w:hAnsi="宋体"/>
            <w:b/>
            <w:bCs/>
            <w:color w:val="auto"/>
            <w:sz w:val="24"/>
            <w:szCs w:val="24"/>
            <w:u w:val="single"/>
            <w:lang w:val="en-US"/>
          </w:rPr>
          <w:delText>09</w:delText>
        </w:r>
      </w:del>
      <w:ins w:id="14" w:author="FYD" w:date="2023-05-25T16:18:07Z">
        <w:r>
          <w:rPr>
            <w:rFonts w:hint="eastAsia" w:ascii="宋体" w:hAnsi="宋体"/>
            <w:b/>
            <w:bCs/>
            <w:color w:val="auto"/>
            <w:sz w:val="24"/>
            <w:szCs w:val="24"/>
            <w:u w:val="single"/>
            <w:lang w:val="en-US" w:eastAsia="zh-CN"/>
          </w:rPr>
          <w:t>14</w:t>
        </w:r>
      </w:ins>
      <w:r>
        <w:rPr>
          <w:rFonts w:ascii="宋体" w:hAnsi="宋体"/>
          <w:b/>
          <w:bCs/>
          <w:color w:val="auto"/>
          <w:sz w:val="24"/>
          <w:szCs w:val="24"/>
          <w:u w:val="single"/>
        </w:rPr>
        <w:t>：30</w:t>
      </w:r>
      <w:r>
        <w:rPr>
          <w:rFonts w:hint="eastAsia" w:ascii="宋体" w:hAnsi="宋体"/>
          <w:b/>
          <w:bCs/>
          <w:color w:val="auto"/>
          <w:sz w:val="24"/>
          <w:szCs w:val="24"/>
          <w:u w:val="single"/>
        </w:rPr>
        <w:t>（北京时间）</w:t>
      </w:r>
      <w:r>
        <w:rPr>
          <w:rFonts w:hint="eastAsia" w:ascii="宋体" w:hAnsi="宋体"/>
          <w:color w:val="auto"/>
          <w:sz w:val="24"/>
          <w:szCs w:val="24"/>
        </w:rPr>
        <w:t>于</w:t>
      </w:r>
      <w:r>
        <w:rPr>
          <w:rFonts w:hint="eastAsia" w:ascii="宋体" w:hAnsi="宋体"/>
          <w:b/>
          <w:bCs/>
          <w:color w:val="auto"/>
          <w:sz w:val="24"/>
          <w:szCs w:val="24"/>
          <w:u w:val="single"/>
        </w:rPr>
        <w:t>建信发展（厦门）采购招标有限公司（厦门市思明区吕岭路1733号创想中心A座1801单元）开标厅</w:t>
      </w:r>
      <w:r>
        <w:rPr>
          <w:rFonts w:hint="eastAsia" w:ascii="宋体" w:hAnsi="宋体"/>
          <w:color w:val="auto"/>
          <w:sz w:val="24"/>
          <w:szCs w:val="24"/>
        </w:rPr>
        <w:t>。</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7、</w:t>
      </w:r>
      <w:r>
        <w:rPr>
          <w:rFonts w:hint="eastAsia" w:ascii="宋体" w:hAnsi="宋体" w:cs="Arial"/>
          <w:color w:val="auto"/>
          <w:sz w:val="24"/>
          <w:szCs w:val="24"/>
        </w:rPr>
        <w:t>报价人</w:t>
      </w:r>
      <w:r>
        <w:rPr>
          <w:rFonts w:ascii="宋体" w:hAnsi="宋体" w:cs="Arial"/>
          <w:color w:val="auto"/>
          <w:sz w:val="24"/>
          <w:szCs w:val="24"/>
        </w:rPr>
        <w:t>对本次磋商活动事项</w:t>
      </w:r>
      <w:r>
        <w:rPr>
          <w:rFonts w:hint="eastAsia" w:ascii="宋体" w:hAnsi="宋体" w:cs="Arial"/>
          <w:color w:val="auto"/>
          <w:sz w:val="24"/>
          <w:szCs w:val="24"/>
        </w:rPr>
        <w:t>如有</w:t>
      </w:r>
      <w:r>
        <w:rPr>
          <w:rFonts w:ascii="宋体" w:hAnsi="宋体" w:cs="Arial"/>
          <w:color w:val="auto"/>
          <w:sz w:val="24"/>
          <w:szCs w:val="24"/>
        </w:rPr>
        <w:t>疑问的，请在磋商截止时间</w:t>
      </w:r>
      <w:r>
        <w:rPr>
          <w:rFonts w:hint="eastAsia" w:ascii="宋体" w:hAnsi="宋体" w:cs="Arial"/>
          <w:color w:val="auto"/>
          <w:sz w:val="24"/>
          <w:szCs w:val="24"/>
        </w:rPr>
        <w:t>5</w:t>
      </w:r>
      <w:r>
        <w:rPr>
          <w:rFonts w:ascii="宋体" w:hAnsi="宋体" w:cs="Arial"/>
          <w:color w:val="auto"/>
          <w:sz w:val="24"/>
          <w:szCs w:val="24"/>
        </w:rPr>
        <w:t>日之前</w:t>
      </w:r>
      <w:r>
        <w:rPr>
          <w:rFonts w:hint="eastAsia" w:ascii="宋体" w:hAnsi="宋体" w:cs="Arial"/>
          <w:color w:val="auto"/>
          <w:sz w:val="24"/>
          <w:szCs w:val="24"/>
        </w:rPr>
        <w:t>，</w:t>
      </w:r>
      <w:r>
        <w:rPr>
          <w:rFonts w:ascii="宋体" w:hAnsi="宋体" w:cs="Arial"/>
          <w:color w:val="auto"/>
          <w:sz w:val="24"/>
          <w:szCs w:val="24"/>
        </w:rPr>
        <w:t>以</w:t>
      </w:r>
      <w:r>
        <w:rPr>
          <w:rFonts w:hint="eastAsia" w:ascii="宋体" w:hAnsi="宋体" w:cs="Arial"/>
          <w:color w:val="auto"/>
          <w:sz w:val="24"/>
          <w:szCs w:val="24"/>
        </w:rPr>
        <w:t>书面</w:t>
      </w:r>
      <w:r>
        <w:rPr>
          <w:rFonts w:ascii="宋体" w:hAnsi="宋体" w:cs="Arial"/>
          <w:color w:val="auto"/>
          <w:sz w:val="24"/>
          <w:szCs w:val="24"/>
        </w:rPr>
        <w:t>形式与</w:t>
      </w:r>
      <w:r>
        <w:rPr>
          <w:rFonts w:hint="eastAsia" w:ascii="宋体" w:hAnsi="宋体" w:cs="Arial"/>
          <w:color w:val="auto"/>
          <w:sz w:val="24"/>
          <w:szCs w:val="24"/>
        </w:rPr>
        <w:t>采购</w:t>
      </w:r>
      <w:r>
        <w:rPr>
          <w:rFonts w:ascii="宋体" w:hAnsi="宋体" w:cs="Arial"/>
          <w:color w:val="auto"/>
          <w:sz w:val="24"/>
          <w:szCs w:val="24"/>
        </w:rPr>
        <w:t>代理机构联系。</w:t>
      </w:r>
    </w:p>
    <w:p>
      <w:pPr>
        <w:wordWrap w:val="0"/>
        <w:spacing w:line="360" w:lineRule="auto"/>
        <w:ind w:firstLine="480" w:firstLineChars="200"/>
        <w:rPr>
          <w:rFonts w:ascii="宋体" w:hAnsi="宋体"/>
          <w:color w:val="auto"/>
          <w:sz w:val="24"/>
          <w:szCs w:val="24"/>
        </w:rPr>
      </w:pPr>
      <w:r>
        <w:rPr>
          <w:rFonts w:hint="eastAsia" w:ascii="宋体" w:hAnsi="宋体" w:cs="Arial"/>
          <w:color w:val="auto"/>
          <w:sz w:val="24"/>
          <w:szCs w:val="24"/>
        </w:rPr>
        <w:t>8、</w:t>
      </w:r>
      <w:r>
        <w:rPr>
          <w:rFonts w:ascii="宋体" w:hAnsi="宋体" w:cs="Arial"/>
          <w:color w:val="auto"/>
          <w:sz w:val="24"/>
        </w:rPr>
        <w:t>以上</w:t>
      </w:r>
      <w:r>
        <w:rPr>
          <w:rFonts w:hint="eastAsia" w:ascii="宋体" w:hAnsi="宋体" w:cs="Arial"/>
          <w:color w:val="auto"/>
          <w:sz w:val="24"/>
        </w:rPr>
        <w:t>信息</w:t>
      </w:r>
      <w:r>
        <w:rPr>
          <w:rFonts w:ascii="宋体" w:hAnsi="宋体" w:cs="Arial"/>
          <w:color w:val="auto"/>
          <w:sz w:val="24"/>
        </w:rPr>
        <w:t>如有变更</w:t>
      </w:r>
      <w:r>
        <w:rPr>
          <w:rFonts w:hint="eastAsia" w:ascii="宋体" w:hAnsi="宋体" w:cs="Arial"/>
          <w:color w:val="auto"/>
          <w:sz w:val="24"/>
        </w:rPr>
        <w:t>，</w:t>
      </w:r>
      <w:r>
        <w:rPr>
          <w:rFonts w:hint="eastAsia" w:ascii="宋体" w:hAnsi="宋体"/>
          <w:color w:val="auto"/>
          <w:sz w:val="24"/>
          <w:u w:val="single"/>
        </w:rPr>
        <w:t>建信发展（厦门）采购招标有限公司</w:t>
      </w:r>
      <w:r>
        <w:rPr>
          <w:rFonts w:hint="eastAsia" w:ascii="宋体" w:hAnsi="宋体" w:cs="Arial"/>
          <w:color w:val="auto"/>
          <w:sz w:val="24"/>
        </w:rPr>
        <w:t>将通过《中国政府采购网》、</w:t>
      </w:r>
      <w:r>
        <w:rPr>
          <w:rFonts w:ascii="宋体" w:hAnsi="宋体"/>
          <w:color w:val="auto"/>
          <w:sz w:val="24"/>
        </w:rPr>
        <w:t>《建信招标采购平台》</w:t>
      </w:r>
      <w:r>
        <w:rPr>
          <w:rFonts w:hint="eastAsia" w:ascii="宋体" w:hAnsi="宋体"/>
          <w:bCs/>
          <w:color w:val="auto"/>
          <w:sz w:val="24"/>
        </w:rPr>
        <w:t>等信息发布媒体通知,</w:t>
      </w:r>
      <w:r>
        <w:rPr>
          <w:rFonts w:ascii="宋体" w:hAnsi="宋体" w:cs="Arial"/>
          <w:color w:val="auto"/>
          <w:sz w:val="24"/>
        </w:rPr>
        <w:t>请</w:t>
      </w:r>
      <w:r>
        <w:rPr>
          <w:rFonts w:hint="eastAsia" w:ascii="宋体" w:hAnsi="宋体" w:cs="Arial"/>
          <w:color w:val="auto"/>
          <w:sz w:val="24"/>
        </w:rPr>
        <w:t>报价人</w:t>
      </w:r>
      <w:r>
        <w:rPr>
          <w:rFonts w:ascii="宋体" w:hAnsi="宋体" w:cs="Arial"/>
          <w:color w:val="auto"/>
          <w:sz w:val="24"/>
        </w:rPr>
        <w:t>关注。</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9、本项目不接受联合体报价。</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10、联系方式</w:t>
      </w:r>
    </w:p>
    <w:p>
      <w:pPr>
        <w:wordWrap w:val="0"/>
        <w:spacing w:line="360" w:lineRule="auto"/>
        <w:ind w:firstLine="481" w:firstLineChars="200"/>
        <w:rPr>
          <w:rFonts w:ascii="宋体" w:hAnsi="宋体"/>
          <w:color w:val="auto"/>
          <w:sz w:val="24"/>
          <w:szCs w:val="24"/>
        </w:rPr>
      </w:pPr>
      <w:r>
        <w:rPr>
          <w:rFonts w:hint="eastAsia" w:ascii="宋体" w:hAnsi="宋体"/>
          <w:b/>
          <w:color w:val="auto"/>
          <w:sz w:val="24"/>
          <w:szCs w:val="24"/>
        </w:rPr>
        <w:t>采购人：厦门市城市管理行政执法局</w:t>
      </w:r>
    </w:p>
    <w:p>
      <w:pPr>
        <w:wordWrap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地址：福建省厦门市湖里区祥岭路5</w:t>
      </w:r>
      <w:r>
        <w:rPr>
          <w:rFonts w:ascii="宋体" w:hAnsi="宋体"/>
          <w:bCs/>
          <w:color w:val="auto"/>
          <w:sz w:val="24"/>
          <w:szCs w:val="24"/>
        </w:rPr>
        <w:t>16-518</w:t>
      </w:r>
      <w:r>
        <w:rPr>
          <w:rFonts w:hint="eastAsia" w:ascii="宋体" w:hAnsi="宋体"/>
          <w:bCs/>
          <w:color w:val="auto"/>
          <w:sz w:val="24"/>
          <w:szCs w:val="24"/>
        </w:rPr>
        <w:t>号</w:t>
      </w:r>
    </w:p>
    <w:p>
      <w:pPr>
        <w:wordWrap w:val="0"/>
        <w:spacing w:line="360" w:lineRule="auto"/>
        <w:ind w:firstLine="480" w:firstLineChars="200"/>
        <w:rPr>
          <w:rFonts w:hint="eastAsia" w:ascii="宋体" w:hAnsi="宋体"/>
          <w:bCs/>
          <w:color w:val="auto"/>
          <w:sz w:val="24"/>
          <w:szCs w:val="24"/>
          <w:lang w:val="en-US" w:eastAsia="zh-CN"/>
        </w:rPr>
      </w:pPr>
      <w:r>
        <w:rPr>
          <w:rFonts w:hint="eastAsia" w:ascii="宋体" w:hAnsi="宋体"/>
          <w:bCs/>
          <w:color w:val="auto"/>
          <w:sz w:val="24"/>
          <w:szCs w:val="24"/>
          <w:lang w:val="en-US" w:eastAsia="zh-CN"/>
        </w:rPr>
        <w:t>联系人：张工</w:t>
      </w:r>
    </w:p>
    <w:p>
      <w:pPr>
        <w:wordWrap w:val="0"/>
        <w:spacing w:line="360" w:lineRule="auto"/>
        <w:ind w:firstLine="480" w:firstLineChars="200"/>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电话：0592-5379391</w:t>
      </w:r>
    </w:p>
    <w:p>
      <w:pPr>
        <w:wordWrap w:val="0"/>
        <w:spacing w:line="360" w:lineRule="auto"/>
        <w:ind w:firstLine="481" w:firstLineChars="200"/>
        <w:rPr>
          <w:rFonts w:ascii="宋体" w:hAnsi="宋体"/>
          <w:color w:val="auto"/>
          <w:sz w:val="24"/>
          <w:szCs w:val="24"/>
        </w:rPr>
      </w:pPr>
      <w:r>
        <w:rPr>
          <w:rFonts w:hint="eastAsia" w:ascii="宋体" w:hAnsi="宋体"/>
          <w:b/>
          <w:color w:val="auto"/>
          <w:sz w:val="24"/>
          <w:szCs w:val="24"/>
        </w:rPr>
        <w:t>采购代理机构：建信发展（厦门）采购招标有限公司</w:t>
      </w:r>
    </w:p>
    <w:p>
      <w:pPr>
        <w:wordWrap w:val="0"/>
        <w:spacing w:line="360" w:lineRule="auto"/>
        <w:ind w:firstLine="480" w:firstLineChars="200"/>
        <w:rPr>
          <w:rFonts w:ascii="宋体" w:hAnsi="宋体"/>
          <w:color w:val="auto"/>
          <w:sz w:val="24"/>
          <w:szCs w:val="24"/>
        </w:rPr>
      </w:pPr>
      <w:r>
        <w:rPr>
          <w:rFonts w:hint="eastAsia" w:ascii="宋体" w:hAnsi="宋体"/>
          <w:bCs/>
          <w:color w:val="auto"/>
          <w:sz w:val="24"/>
          <w:szCs w:val="24"/>
        </w:rPr>
        <w:t>地址：厦门市思明区吕岭路1733号创想中心A座1801-1805单元</w:t>
      </w:r>
    </w:p>
    <w:p>
      <w:pPr>
        <w:wordWrap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电话：</w:t>
      </w:r>
      <w:r>
        <w:rPr>
          <w:rFonts w:hint="eastAsia" w:ascii="宋体" w:hAnsi="宋体"/>
          <w:bCs/>
          <w:color w:val="auto"/>
          <w:sz w:val="24"/>
          <w:szCs w:val="24"/>
          <w:lang w:eastAsia="zh-CN"/>
        </w:rPr>
        <w:t>13022063384</w:t>
      </w:r>
    </w:p>
    <w:p>
      <w:pPr>
        <w:wordWrap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联系人：</w:t>
      </w:r>
      <w:r>
        <w:rPr>
          <w:rFonts w:hint="eastAsia" w:ascii="宋体" w:hAnsi="宋体"/>
          <w:bCs/>
          <w:color w:val="auto"/>
          <w:sz w:val="24"/>
          <w:szCs w:val="24"/>
          <w:lang w:eastAsia="zh-CN"/>
        </w:rPr>
        <w:t>傅工</w:t>
      </w:r>
    </w:p>
    <w:p>
      <w:pPr>
        <w:wordWrap w:val="0"/>
        <w:spacing w:line="360" w:lineRule="auto"/>
        <w:ind w:firstLine="480" w:firstLineChars="200"/>
        <w:rPr>
          <w:rFonts w:ascii="宋体" w:hAnsi="宋体"/>
          <w:color w:val="auto"/>
          <w:sz w:val="24"/>
          <w:szCs w:val="24"/>
        </w:rPr>
      </w:pPr>
      <w:r>
        <w:rPr>
          <w:rFonts w:hint="eastAsia" w:ascii="宋体" w:hAnsi="宋体"/>
          <w:bCs/>
          <w:color w:val="auto"/>
          <w:sz w:val="24"/>
          <w:szCs w:val="24"/>
        </w:rPr>
        <w:t>11、</w:t>
      </w:r>
      <w:r>
        <w:rPr>
          <w:rFonts w:hint="eastAsia" w:ascii="宋体" w:hAnsi="宋体"/>
          <w:b/>
          <w:color w:val="auto"/>
          <w:sz w:val="24"/>
          <w:szCs w:val="24"/>
        </w:rPr>
        <w:t>报价保证金、采购文件费用、</w:t>
      </w:r>
      <w:r>
        <w:rPr>
          <w:rFonts w:hint="eastAsia" w:ascii="宋体" w:hAnsi="宋体" w:cs="宋体"/>
          <w:b/>
          <w:color w:val="auto"/>
          <w:sz w:val="24"/>
          <w:szCs w:val="24"/>
        </w:rPr>
        <w:t>磋商代理服务费</w:t>
      </w:r>
      <w:r>
        <w:rPr>
          <w:rFonts w:hint="eastAsia" w:ascii="宋体" w:hAnsi="宋体"/>
          <w:b/>
          <w:color w:val="auto"/>
          <w:sz w:val="24"/>
          <w:szCs w:val="24"/>
        </w:rPr>
        <w:t>账户</w:t>
      </w:r>
    </w:p>
    <w:p>
      <w:pPr>
        <w:wordWrap w:val="0"/>
        <w:spacing w:line="360" w:lineRule="auto"/>
        <w:ind w:firstLine="480" w:firstLineChars="200"/>
        <w:rPr>
          <w:rFonts w:ascii="宋体" w:hAnsi="宋体"/>
          <w:color w:val="auto"/>
          <w:sz w:val="24"/>
          <w:szCs w:val="24"/>
        </w:rPr>
      </w:pPr>
      <w:r>
        <w:rPr>
          <w:rFonts w:hint="eastAsia" w:ascii="宋体" w:hAnsi="宋体"/>
          <w:bCs/>
          <w:color w:val="auto"/>
          <w:sz w:val="24"/>
          <w:szCs w:val="24"/>
        </w:rPr>
        <w:t>收款单位账户：建信发展（厦门）采购招标有限公司</w:t>
      </w:r>
    </w:p>
    <w:p>
      <w:pPr>
        <w:wordWrap w:val="0"/>
        <w:spacing w:line="360" w:lineRule="auto"/>
        <w:ind w:firstLine="480" w:firstLineChars="200"/>
        <w:rPr>
          <w:rFonts w:ascii="宋体" w:hAnsi="宋体"/>
          <w:color w:val="auto"/>
          <w:sz w:val="24"/>
          <w:szCs w:val="24"/>
        </w:rPr>
      </w:pPr>
      <w:r>
        <w:rPr>
          <w:rFonts w:hint="eastAsia" w:ascii="宋体" w:hAnsi="宋体"/>
          <w:bCs/>
          <w:color w:val="auto"/>
          <w:sz w:val="24"/>
          <w:szCs w:val="24"/>
        </w:rPr>
        <w:t>开户银行：中国银行厦门建发大厦支行</w:t>
      </w:r>
    </w:p>
    <w:p>
      <w:pPr>
        <w:wordWrap w:val="0"/>
        <w:spacing w:line="360" w:lineRule="auto"/>
        <w:ind w:firstLine="480" w:firstLineChars="200"/>
        <w:rPr>
          <w:rFonts w:ascii="宋体" w:hAnsi="宋体"/>
          <w:color w:val="auto"/>
          <w:sz w:val="24"/>
          <w:szCs w:val="24"/>
        </w:rPr>
      </w:pPr>
      <w:r>
        <w:rPr>
          <w:rFonts w:hint="eastAsia" w:ascii="宋体" w:hAnsi="宋体"/>
          <w:bCs/>
          <w:color w:val="auto"/>
          <w:sz w:val="24"/>
          <w:szCs w:val="24"/>
        </w:rPr>
        <w:t>帐    号：418276512494</w:t>
      </w:r>
    </w:p>
    <w:p>
      <w:pPr>
        <w:pStyle w:val="81"/>
        <w:wordWrap w:val="0"/>
        <w:spacing w:line="360" w:lineRule="auto"/>
        <w:rPr>
          <w:rFonts w:hAnsi="宋体"/>
          <w:color w:val="auto"/>
        </w:rPr>
      </w:pPr>
      <w:bookmarkStart w:id="9" w:name="_Toc26506"/>
      <w:bookmarkStart w:id="10" w:name="_Toc23228"/>
      <w:bookmarkStart w:id="11" w:name="_Toc27023"/>
      <w:bookmarkStart w:id="12" w:name="_Toc29559"/>
    </w:p>
    <w:p>
      <w:pPr>
        <w:pStyle w:val="2"/>
        <w:wordWrap w:val="0"/>
        <w:spacing w:before="0" w:after="0" w:line="360" w:lineRule="auto"/>
        <w:jc w:val="left"/>
        <w:rPr>
          <w:rFonts w:ascii="宋体" w:hAnsi="宋体"/>
          <w:color w:val="auto"/>
          <w:szCs w:val="24"/>
        </w:rPr>
      </w:pPr>
      <w:bookmarkStart w:id="13" w:name="_Toc562"/>
      <w:bookmarkStart w:id="14" w:name="_Toc78368503"/>
      <w:bookmarkStart w:id="15" w:name="_Toc5195"/>
      <w:bookmarkStart w:id="16" w:name="_Toc13936"/>
      <w:bookmarkStart w:id="17" w:name="_Toc26589"/>
      <w:r>
        <w:rPr>
          <w:rFonts w:hint="eastAsia" w:ascii="宋体" w:hAnsi="宋体"/>
          <w:color w:val="auto"/>
          <w:szCs w:val="24"/>
        </w:rPr>
        <w:t>附：采购项目一览表</w:t>
      </w:r>
      <w:bookmarkEnd w:id="9"/>
      <w:bookmarkEnd w:id="10"/>
      <w:bookmarkEnd w:id="11"/>
      <w:bookmarkEnd w:id="12"/>
      <w:bookmarkEnd w:id="13"/>
      <w:bookmarkEnd w:id="14"/>
      <w:bookmarkEnd w:id="15"/>
      <w:bookmarkEnd w:id="16"/>
      <w:bookmarkEnd w:id="17"/>
    </w:p>
    <w:tbl>
      <w:tblPr>
        <w:tblStyle w:val="29"/>
        <w:tblW w:w="8774"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709"/>
        <w:gridCol w:w="2268"/>
        <w:gridCol w:w="709"/>
        <w:gridCol w:w="1827"/>
        <w:gridCol w:w="1276"/>
        <w:gridCol w:w="1276"/>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709" w:type="dxa"/>
            <w:tcBorders>
              <w:top w:val="double" w:color="000000" w:sz="4" w:space="0"/>
              <w:left w:val="doub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合同包</w:t>
            </w:r>
          </w:p>
        </w:tc>
        <w:tc>
          <w:tcPr>
            <w:tcW w:w="709" w:type="dxa"/>
            <w:tcBorders>
              <w:top w:val="double" w:color="000000" w:sz="4" w:space="0"/>
              <w:left w:val="sing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品目号</w:t>
            </w:r>
          </w:p>
        </w:tc>
        <w:tc>
          <w:tcPr>
            <w:tcW w:w="2268" w:type="dxa"/>
            <w:tcBorders>
              <w:top w:val="double" w:color="000000" w:sz="4" w:space="0"/>
              <w:left w:val="sing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项目名称</w:t>
            </w:r>
          </w:p>
        </w:tc>
        <w:tc>
          <w:tcPr>
            <w:tcW w:w="709" w:type="dxa"/>
            <w:tcBorders>
              <w:top w:val="double" w:color="000000" w:sz="4" w:space="0"/>
              <w:left w:val="sing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数量</w:t>
            </w:r>
          </w:p>
        </w:tc>
        <w:tc>
          <w:tcPr>
            <w:tcW w:w="1827" w:type="dxa"/>
            <w:tcBorders>
              <w:top w:val="double" w:color="000000" w:sz="4" w:space="0"/>
              <w:left w:val="sing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hint="eastAsia" w:ascii="宋体" w:hAnsi="宋体"/>
                <w:color w:val="auto"/>
                <w:kern w:val="0"/>
                <w:sz w:val="24"/>
                <w:szCs w:val="24"/>
              </w:rPr>
              <w:t>采购</w:t>
            </w:r>
            <w:r>
              <w:rPr>
                <w:rStyle w:val="87"/>
                <w:rFonts w:ascii="宋体" w:hAnsi="宋体"/>
                <w:color w:val="auto"/>
                <w:kern w:val="0"/>
                <w:sz w:val="24"/>
                <w:szCs w:val="24"/>
              </w:rPr>
              <w:t>内容及要求</w:t>
            </w:r>
          </w:p>
        </w:tc>
        <w:tc>
          <w:tcPr>
            <w:tcW w:w="1276" w:type="dxa"/>
            <w:tcBorders>
              <w:top w:val="double" w:color="000000" w:sz="4" w:space="0"/>
              <w:left w:val="single" w:color="000000" w:sz="4" w:space="0"/>
              <w:bottom w:val="sing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kern w:val="0"/>
                <w:sz w:val="24"/>
                <w:szCs w:val="24"/>
              </w:rPr>
            </w:pPr>
            <w:r>
              <w:rPr>
                <w:rStyle w:val="87"/>
                <w:rFonts w:hint="eastAsia" w:ascii="宋体" w:hAnsi="宋体"/>
                <w:color w:val="auto"/>
                <w:kern w:val="0"/>
                <w:sz w:val="24"/>
                <w:szCs w:val="24"/>
              </w:rPr>
              <w:t>服务地点</w:t>
            </w:r>
          </w:p>
        </w:tc>
        <w:tc>
          <w:tcPr>
            <w:tcW w:w="1276" w:type="dxa"/>
            <w:tcBorders>
              <w:top w:val="double" w:color="000000" w:sz="4" w:space="0"/>
              <w:left w:val="single" w:color="000000" w:sz="4" w:space="0"/>
              <w:bottom w:val="single" w:color="000000" w:sz="4" w:space="0"/>
              <w:right w:val="double" w:color="000000" w:sz="4" w:space="0"/>
            </w:tcBorders>
            <w:vAlign w:val="center"/>
          </w:tcPr>
          <w:p>
            <w:pPr>
              <w:wordWrap w:val="0"/>
              <w:snapToGrid w:val="0"/>
              <w:spacing w:line="360" w:lineRule="auto"/>
              <w:jc w:val="center"/>
              <w:textAlignment w:val="center"/>
              <w:rPr>
                <w:rStyle w:val="87"/>
                <w:rFonts w:ascii="宋体" w:hAnsi="宋体"/>
                <w:color w:val="auto"/>
                <w:kern w:val="0"/>
                <w:sz w:val="24"/>
                <w:szCs w:val="24"/>
              </w:rPr>
            </w:pPr>
            <w:r>
              <w:rPr>
                <w:rStyle w:val="87"/>
                <w:rFonts w:hint="eastAsia" w:ascii="宋体" w:hAnsi="宋体"/>
                <w:color w:val="auto"/>
                <w:kern w:val="0"/>
                <w:sz w:val="24"/>
                <w:szCs w:val="24"/>
              </w:rPr>
              <w:t>服务时间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709" w:type="dxa"/>
            <w:tcBorders>
              <w:top w:val="single" w:color="000000" w:sz="4" w:space="0"/>
              <w:left w:val="doub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sz w:val="24"/>
                <w:szCs w:val="24"/>
              </w:rPr>
              <w:t>1</w:t>
            </w:r>
          </w:p>
        </w:tc>
        <w:tc>
          <w:tcPr>
            <w:tcW w:w="709" w:type="dxa"/>
            <w:tcBorders>
              <w:top w:val="single" w:color="000000" w:sz="4" w:space="0"/>
              <w:left w:val="sing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1-1</w:t>
            </w:r>
          </w:p>
        </w:tc>
        <w:tc>
          <w:tcPr>
            <w:tcW w:w="2268" w:type="dxa"/>
            <w:tcBorders>
              <w:top w:val="single" w:color="000000" w:sz="4" w:space="0"/>
              <w:left w:val="sing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hint="eastAsia" w:ascii="宋体" w:hAnsi="宋体" w:eastAsia="宋体"/>
                <w:color w:val="auto"/>
                <w:sz w:val="24"/>
                <w:szCs w:val="24"/>
                <w:lang w:eastAsia="zh-CN"/>
              </w:rPr>
            </w:pPr>
            <w:r>
              <w:rPr>
                <w:rStyle w:val="87"/>
                <w:rFonts w:hint="eastAsia" w:ascii="宋体" w:hAnsi="宋体"/>
                <w:color w:val="auto"/>
                <w:sz w:val="24"/>
                <w:szCs w:val="24"/>
                <w:lang w:eastAsia="zh-CN"/>
              </w:rPr>
              <w:t>厦门市城市管理行政执法局专职法律顾问助理服务采购</w:t>
            </w:r>
          </w:p>
        </w:tc>
        <w:tc>
          <w:tcPr>
            <w:tcW w:w="709" w:type="dxa"/>
            <w:tcBorders>
              <w:top w:val="single" w:color="000000" w:sz="4" w:space="0"/>
              <w:left w:val="sing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kern w:val="0"/>
                <w:sz w:val="24"/>
                <w:szCs w:val="24"/>
              </w:rPr>
              <w:t>1项</w:t>
            </w:r>
          </w:p>
        </w:tc>
        <w:tc>
          <w:tcPr>
            <w:tcW w:w="1827" w:type="dxa"/>
            <w:tcBorders>
              <w:top w:val="single" w:color="000000" w:sz="4" w:space="0"/>
              <w:left w:val="sing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sz w:val="24"/>
                <w:szCs w:val="24"/>
              </w:rPr>
              <w:t xml:space="preserve">详见第三章 </w:t>
            </w:r>
          </w:p>
        </w:tc>
        <w:tc>
          <w:tcPr>
            <w:tcW w:w="1276" w:type="dxa"/>
            <w:tcBorders>
              <w:top w:val="single" w:color="000000" w:sz="4" w:space="0"/>
              <w:left w:val="single" w:color="000000" w:sz="4" w:space="0"/>
              <w:bottom w:val="double" w:color="000000" w:sz="4" w:space="0"/>
              <w:right w:val="single" w:color="000000" w:sz="4" w:space="0"/>
            </w:tcBorders>
            <w:vAlign w:val="center"/>
          </w:tcPr>
          <w:p>
            <w:pPr>
              <w:wordWrap w:val="0"/>
              <w:snapToGrid w:val="0"/>
              <w:spacing w:line="360" w:lineRule="auto"/>
              <w:jc w:val="center"/>
              <w:textAlignment w:val="center"/>
              <w:rPr>
                <w:rStyle w:val="87"/>
                <w:rFonts w:ascii="宋体" w:hAnsi="宋体"/>
                <w:color w:val="auto"/>
                <w:sz w:val="24"/>
                <w:szCs w:val="24"/>
              </w:rPr>
            </w:pPr>
            <w:r>
              <w:rPr>
                <w:rStyle w:val="87"/>
                <w:rFonts w:ascii="宋体" w:hAnsi="宋体"/>
                <w:color w:val="auto"/>
                <w:sz w:val="24"/>
                <w:szCs w:val="24"/>
              </w:rPr>
              <w:t>详见第三章</w:t>
            </w:r>
          </w:p>
        </w:tc>
        <w:tc>
          <w:tcPr>
            <w:tcW w:w="1276" w:type="dxa"/>
            <w:tcBorders>
              <w:top w:val="single" w:color="000000" w:sz="4" w:space="0"/>
              <w:left w:val="single" w:color="000000" w:sz="4" w:space="0"/>
              <w:bottom w:val="double" w:color="000000" w:sz="4" w:space="0"/>
              <w:right w:val="double" w:color="000000" w:sz="4" w:space="0"/>
            </w:tcBorders>
            <w:vAlign w:val="center"/>
          </w:tcPr>
          <w:p>
            <w:pPr>
              <w:wordWrap w:val="0"/>
              <w:snapToGrid w:val="0"/>
              <w:spacing w:line="360" w:lineRule="auto"/>
              <w:jc w:val="center"/>
              <w:textAlignment w:val="center"/>
              <w:rPr>
                <w:rStyle w:val="87"/>
                <w:rFonts w:ascii="宋体" w:hAnsi="宋体"/>
                <w:color w:val="auto"/>
                <w:kern w:val="0"/>
                <w:sz w:val="24"/>
                <w:szCs w:val="24"/>
              </w:rPr>
            </w:pPr>
            <w:r>
              <w:rPr>
                <w:rStyle w:val="87"/>
                <w:rFonts w:ascii="宋体" w:hAnsi="宋体"/>
                <w:color w:val="auto"/>
                <w:sz w:val="24"/>
                <w:szCs w:val="24"/>
              </w:rPr>
              <w:t>详见第三章</w:t>
            </w:r>
          </w:p>
        </w:tc>
      </w:tr>
    </w:tbl>
    <w:p>
      <w:pPr>
        <w:wordWrap w:val="0"/>
        <w:spacing w:line="360" w:lineRule="auto"/>
        <w:rPr>
          <w:rFonts w:ascii="宋体" w:hAnsi="宋体"/>
          <w:color w:val="auto"/>
          <w:sz w:val="24"/>
          <w:szCs w:val="24"/>
        </w:rPr>
      </w:pPr>
      <w:r>
        <w:rPr>
          <w:rFonts w:hint="eastAsia" w:ascii="宋体" w:hAnsi="宋体"/>
          <w:color w:val="auto"/>
          <w:sz w:val="24"/>
          <w:szCs w:val="24"/>
        </w:rPr>
        <w:t>备注：供应商应按合同包参与磋商，对同一合同包内所有品目号内容必须完整响应。评审与确定成交供应商以合同包为单位。</w:t>
      </w:r>
    </w:p>
    <w:p>
      <w:pPr>
        <w:keepNext/>
        <w:keepLines/>
        <w:pageBreakBefore/>
        <w:widowControl/>
        <w:wordWrap w:val="0"/>
        <w:spacing w:line="360" w:lineRule="auto"/>
        <w:jc w:val="center"/>
        <w:outlineLvl w:val="0"/>
        <w:rPr>
          <w:rFonts w:ascii="宋体" w:hAnsi="宋体"/>
          <w:b/>
          <w:bCs/>
          <w:color w:val="auto"/>
          <w:sz w:val="36"/>
          <w:szCs w:val="36"/>
        </w:rPr>
      </w:pPr>
      <w:bookmarkStart w:id="18" w:name="_Toc31895"/>
      <w:bookmarkStart w:id="19" w:name="_Toc31012"/>
      <w:bookmarkStart w:id="20" w:name="_Toc78368504"/>
      <w:bookmarkStart w:id="21" w:name="_Toc7048"/>
      <w:bookmarkStart w:id="22" w:name="_Toc4867"/>
      <w:bookmarkStart w:id="23" w:name="_Toc9152"/>
      <w:r>
        <w:rPr>
          <w:rFonts w:hint="eastAsia" w:ascii="宋体" w:hAnsi="宋体"/>
          <w:b/>
          <w:bCs/>
          <w:color w:val="auto"/>
          <w:sz w:val="36"/>
          <w:szCs w:val="36"/>
        </w:rPr>
        <w:t>第二章  报价人须知</w:t>
      </w:r>
      <w:bookmarkEnd w:id="18"/>
      <w:bookmarkEnd w:id="19"/>
      <w:bookmarkEnd w:id="20"/>
      <w:bookmarkEnd w:id="21"/>
      <w:bookmarkEnd w:id="22"/>
      <w:bookmarkEnd w:id="23"/>
    </w:p>
    <w:p>
      <w:pPr>
        <w:pStyle w:val="2"/>
        <w:wordWrap w:val="0"/>
        <w:spacing w:before="0" w:after="0" w:line="360" w:lineRule="auto"/>
        <w:rPr>
          <w:rFonts w:ascii="宋体" w:hAnsi="宋体"/>
          <w:color w:val="auto"/>
          <w:sz w:val="28"/>
          <w:szCs w:val="28"/>
        </w:rPr>
      </w:pPr>
      <w:bookmarkStart w:id="24" w:name="_Toc17111"/>
      <w:bookmarkStart w:id="25" w:name="_Toc7611"/>
      <w:bookmarkStart w:id="26" w:name="_Toc24900"/>
      <w:bookmarkStart w:id="27" w:name="_Toc21175"/>
      <w:bookmarkStart w:id="28" w:name="_Toc12013"/>
      <w:bookmarkStart w:id="29" w:name="_Toc9315"/>
      <w:bookmarkStart w:id="30" w:name="_Toc25129"/>
      <w:bookmarkStart w:id="31" w:name="_Toc3733"/>
      <w:bookmarkStart w:id="32" w:name="_Toc78368505"/>
      <w:r>
        <w:rPr>
          <w:rFonts w:hint="eastAsia" w:ascii="宋体" w:hAnsi="宋体"/>
          <w:color w:val="auto"/>
          <w:sz w:val="28"/>
          <w:szCs w:val="28"/>
        </w:rPr>
        <w:t>报价人须知前附表1</w:t>
      </w:r>
      <w:bookmarkEnd w:id="24"/>
      <w:bookmarkEnd w:id="25"/>
      <w:bookmarkEnd w:id="26"/>
      <w:bookmarkEnd w:id="27"/>
      <w:bookmarkEnd w:id="28"/>
      <w:bookmarkEnd w:id="29"/>
      <w:bookmarkEnd w:id="30"/>
      <w:bookmarkEnd w:id="31"/>
      <w:bookmarkEnd w:id="32"/>
    </w:p>
    <w:p>
      <w:pPr>
        <w:wordWrap w:val="0"/>
        <w:spacing w:line="360" w:lineRule="auto"/>
        <w:ind w:firstLine="525"/>
        <w:rPr>
          <w:rFonts w:ascii="宋体" w:hAnsi="宋体"/>
          <w:b/>
          <w:bCs/>
          <w:color w:val="auto"/>
          <w:sz w:val="24"/>
          <w:szCs w:val="24"/>
        </w:rPr>
      </w:pPr>
      <w:r>
        <w:rPr>
          <w:rFonts w:hint="eastAsia" w:ascii="宋体" w:hAnsi="宋体"/>
          <w:color w:val="auto"/>
          <w:sz w:val="24"/>
          <w:szCs w:val="24"/>
        </w:rPr>
        <w:t>本须知前附表的条款号是与《报价人须知》中条款的项号相对应的。</w:t>
      </w:r>
      <w:r>
        <w:rPr>
          <w:rFonts w:hint="eastAsia" w:ascii="宋体" w:hAnsi="宋体"/>
          <w:b/>
          <w:bCs/>
          <w:color w:val="auto"/>
          <w:sz w:val="24"/>
          <w:szCs w:val="24"/>
        </w:rPr>
        <w:t>如果有矛盾的话，应以本附表为准。</w:t>
      </w:r>
    </w:p>
    <w:tbl>
      <w:tblPr>
        <w:tblStyle w:val="29"/>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92"/>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项号</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条款号</w:t>
            </w: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1.1</w:t>
            </w: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lang w:eastAsia="zh-CN"/>
              </w:rPr>
              <w:t>厦门市城市管理行政执法局专职法律顾问助理服务采购</w:t>
            </w:r>
            <w:r>
              <w:rPr>
                <w:rFonts w:hint="eastAsia" w:ascii="宋体" w:hAnsi="宋体" w:cs="宋体"/>
                <w:color w:val="auto"/>
                <w:sz w:val="24"/>
                <w:szCs w:val="24"/>
              </w:rPr>
              <w:t>；</w:t>
            </w:r>
          </w:p>
          <w:p>
            <w:pPr>
              <w:wordWrap w:val="0"/>
              <w:spacing w:line="360" w:lineRule="auto"/>
              <w:rPr>
                <w:rFonts w:ascii="宋体" w:hAnsi="宋体" w:cs="宋体"/>
                <w:color w:val="auto"/>
                <w:sz w:val="24"/>
                <w:szCs w:val="24"/>
              </w:rPr>
            </w:pPr>
            <w:r>
              <w:rPr>
                <w:rFonts w:hint="eastAsia" w:ascii="宋体" w:hAnsi="宋体" w:cs="宋体"/>
                <w:color w:val="auto"/>
                <w:sz w:val="24"/>
                <w:szCs w:val="24"/>
              </w:rPr>
              <w:t>采购人名称：厦门市城市管理行政执法局；</w:t>
            </w:r>
          </w:p>
          <w:p>
            <w:pPr>
              <w:wordWrap w:val="0"/>
              <w:spacing w:line="360" w:lineRule="auto"/>
              <w:rPr>
                <w:rFonts w:ascii="宋体" w:hAnsi="宋体" w:cs="宋体"/>
                <w:color w:val="auto"/>
                <w:sz w:val="24"/>
                <w:szCs w:val="24"/>
              </w:rPr>
            </w:pPr>
            <w:r>
              <w:rPr>
                <w:rFonts w:hint="eastAsia" w:ascii="宋体" w:hAnsi="宋体" w:cs="宋体"/>
                <w:color w:val="auto"/>
                <w:sz w:val="24"/>
                <w:szCs w:val="24"/>
              </w:rPr>
              <w:t>采购人地址：</w:t>
            </w:r>
            <w:r>
              <w:rPr>
                <w:rFonts w:hint="eastAsia" w:ascii="宋体" w:hAnsi="宋体"/>
                <w:color w:val="auto"/>
                <w:sz w:val="24"/>
                <w:szCs w:val="24"/>
              </w:rPr>
              <w:t>福建省厦门市湖里区祥岭路5</w:t>
            </w:r>
            <w:r>
              <w:rPr>
                <w:rFonts w:ascii="宋体" w:hAnsi="宋体"/>
                <w:color w:val="auto"/>
                <w:sz w:val="24"/>
                <w:szCs w:val="24"/>
              </w:rPr>
              <w:t>16-518</w:t>
            </w:r>
            <w:r>
              <w:rPr>
                <w:rFonts w:hint="eastAsia" w:ascii="宋体" w:hAnsi="宋体"/>
                <w:color w:val="auto"/>
                <w:sz w:val="24"/>
                <w:szCs w:val="24"/>
              </w:rPr>
              <w:t>号；</w:t>
            </w:r>
          </w:p>
          <w:p>
            <w:pPr>
              <w:wordWrap w:val="0"/>
              <w:spacing w:line="360" w:lineRule="auto"/>
              <w:rPr>
                <w:rFonts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JXFZ2023-XM0217</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auto"/>
                <w:sz w:val="24"/>
                <w:szCs w:val="24"/>
              </w:rPr>
            </w:pPr>
            <w:r>
              <w:rPr>
                <w:rFonts w:hint="eastAsia" w:ascii="宋体" w:hAnsi="宋体" w:cs="宋体"/>
                <w:color w:val="auto"/>
                <w:sz w:val="24"/>
                <w:szCs w:val="24"/>
              </w:rPr>
              <w:t>是否允许中国境外报价人参加本采购项目：</w:t>
            </w:r>
            <w:r>
              <w:rPr>
                <w:rFonts w:hint="eastAsia" w:ascii="宋体" w:hAnsi="宋体" w:cs="宋体"/>
                <w:b/>
                <w:color w:val="auto"/>
                <w:sz w:val="24"/>
                <w:szCs w:val="24"/>
              </w:rPr>
              <w:t>□</w:t>
            </w:r>
            <w:r>
              <w:rPr>
                <w:rFonts w:hint="eastAsia" w:ascii="宋体" w:hAnsi="宋体" w:cs="宋体"/>
                <w:color w:val="auto"/>
                <w:sz w:val="24"/>
                <w:szCs w:val="24"/>
              </w:rPr>
              <w:t xml:space="preserve">是/ </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eq \o\ac(</w:instrText>
            </w:r>
            <w:r>
              <w:rPr>
                <w:rFonts w:hint="eastAsia" w:ascii="宋体" w:hAnsi="宋体" w:cs="宋体"/>
                <w:color w:val="auto"/>
                <w:position w:val="-4"/>
                <w:sz w:val="24"/>
                <w:szCs w:val="24"/>
              </w:rPr>
              <w:instrText xml:space="preserve">□</w:instrText>
            </w:r>
            <w:r>
              <w:rPr>
                <w:rFonts w:hint="eastAsia" w:ascii="宋体" w:hAnsi="宋体" w:cs="宋体"/>
                <w:color w:val="auto"/>
                <w:sz w:val="24"/>
                <w:szCs w:val="24"/>
              </w:rPr>
              <w:instrText xml:space="preserve">,√)</w:instrText>
            </w:r>
            <w:r>
              <w:rPr>
                <w:rFonts w:hint="eastAsia" w:ascii="宋体" w:hAnsi="宋体" w:cs="宋体"/>
                <w:color w:val="auto"/>
                <w:sz w:val="24"/>
                <w:szCs w:val="24"/>
              </w:rPr>
              <w:fldChar w:fldCharType="end"/>
            </w: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auto"/>
                <w:sz w:val="24"/>
                <w:szCs w:val="24"/>
              </w:rPr>
            </w:pPr>
            <w:r>
              <w:rPr>
                <w:rFonts w:hint="eastAsia" w:ascii="宋体" w:hAnsi="宋体" w:cs="宋体"/>
                <w:b/>
                <w:bCs/>
                <w:color w:val="auto"/>
                <w:sz w:val="24"/>
                <w:szCs w:val="24"/>
              </w:rPr>
              <w:t>资格标准：详见《报价人须知前附表</w:t>
            </w:r>
            <w:r>
              <w:rPr>
                <w:rFonts w:ascii="宋体" w:hAnsi="宋体" w:cs="宋体"/>
                <w:b/>
                <w:bCs/>
                <w:color w:val="auto"/>
                <w:sz w:val="24"/>
                <w:szCs w:val="24"/>
              </w:rPr>
              <w:t>2</w:t>
            </w:r>
            <w:r>
              <w:rPr>
                <w:rFonts w:hint="eastAsia" w:ascii="宋体" w:hAnsi="宋体" w:cs="宋体"/>
                <w:b/>
                <w:bCs/>
                <w:color w:val="auto"/>
                <w:sz w:val="24"/>
                <w:szCs w:val="24"/>
              </w:rPr>
              <w:t>》，第二章《报价人价须知》第3条，以及第三章《采购内容及要求》有关内容。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auto"/>
                <w:sz w:val="24"/>
                <w:szCs w:val="24"/>
              </w:rPr>
            </w:pPr>
            <w:r>
              <w:rPr>
                <w:rFonts w:hint="eastAsia" w:ascii="宋体" w:hAnsi="宋体" w:cs="宋体"/>
                <w:color w:val="auto"/>
                <w:sz w:val="24"/>
                <w:szCs w:val="24"/>
              </w:rPr>
              <w:t>报价文件递交地址：详见“第一章 磋商邀请”；</w:t>
            </w:r>
          </w:p>
          <w:p>
            <w:pPr>
              <w:wordWrap w:val="0"/>
              <w:spacing w:line="360" w:lineRule="auto"/>
              <w:rPr>
                <w:rFonts w:ascii="宋体" w:hAnsi="宋体" w:cs="宋体"/>
                <w:color w:val="auto"/>
                <w:sz w:val="24"/>
                <w:szCs w:val="24"/>
              </w:rPr>
            </w:pPr>
            <w:r>
              <w:rPr>
                <w:rFonts w:hint="eastAsia" w:ascii="宋体" w:hAnsi="宋体" w:cs="宋体"/>
                <w:color w:val="auto"/>
                <w:sz w:val="24"/>
                <w:szCs w:val="24"/>
              </w:rPr>
              <w:t>报价文件提交截止时间：详见“第一章 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12</w:t>
            </w: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b/>
                <w:bCs/>
                <w:color w:val="auto"/>
                <w:sz w:val="24"/>
                <w:szCs w:val="24"/>
              </w:rPr>
            </w:pPr>
            <w:r>
              <w:rPr>
                <w:rFonts w:hint="eastAsia" w:ascii="宋体" w:hAnsi="宋体" w:cs="宋体"/>
                <w:b/>
                <w:bCs/>
                <w:color w:val="auto"/>
                <w:sz w:val="24"/>
                <w:szCs w:val="24"/>
              </w:rPr>
              <w:t>磋商保证金：无需。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7002" w:type="dxa"/>
            <w:tcBorders>
              <w:top w:val="single" w:color="auto" w:sz="4" w:space="0"/>
              <w:left w:val="single" w:color="auto" w:sz="4" w:space="0"/>
              <w:bottom w:val="single" w:color="auto" w:sz="4" w:space="0"/>
              <w:right w:val="single" w:color="auto" w:sz="4" w:space="0"/>
            </w:tcBorders>
          </w:tcPr>
          <w:p>
            <w:pPr>
              <w:wordWrap w:val="0"/>
              <w:spacing w:line="360" w:lineRule="auto"/>
              <w:rPr>
                <w:rFonts w:ascii="宋体" w:hAnsi="宋体" w:cs="宋体"/>
                <w:b/>
                <w:bCs/>
                <w:color w:val="auto"/>
                <w:sz w:val="24"/>
                <w:szCs w:val="24"/>
              </w:rPr>
            </w:pPr>
            <w:r>
              <w:rPr>
                <w:rFonts w:hint="eastAsia" w:ascii="宋体" w:hAnsi="宋体" w:cs="宋体"/>
                <w:b/>
                <w:bCs/>
                <w:color w:val="auto"/>
                <w:sz w:val="24"/>
                <w:szCs w:val="24"/>
              </w:rPr>
              <w:t>磋商规则、评审标准：详见《报价人须知前附表3》；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7"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ascii="宋体" w:hAnsi="宋体" w:cs="宋体"/>
                <w:color w:val="auto"/>
                <w:sz w:val="24"/>
                <w:szCs w:val="24"/>
              </w:rPr>
              <w:t>23</w:t>
            </w: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b/>
                <w:bCs/>
                <w:color w:val="auto"/>
                <w:sz w:val="24"/>
                <w:szCs w:val="24"/>
              </w:rPr>
            </w:pPr>
            <w:bookmarkStart w:id="33" w:name="_Hlk101450314"/>
            <w:r>
              <w:rPr>
                <w:rFonts w:hint="eastAsia" w:ascii="宋体" w:hAnsi="宋体" w:cs="宋体"/>
                <w:b/>
                <w:bCs/>
                <w:color w:val="auto"/>
                <w:sz w:val="24"/>
                <w:szCs w:val="24"/>
              </w:rPr>
              <w:t>采购代理服务费</w:t>
            </w:r>
            <w:bookmarkEnd w:id="33"/>
            <w:r>
              <w:rPr>
                <w:rFonts w:hint="eastAsia" w:ascii="宋体" w:hAnsi="宋体" w:cs="宋体"/>
                <w:b/>
                <w:bCs/>
                <w:color w:val="auto"/>
                <w:sz w:val="24"/>
                <w:szCs w:val="24"/>
              </w:rPr>
              <w:t>标准及收取方式：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wordWrap w:val="0"/>
                    <w:adjustRightInd w:val="0"/>
                    <w:snapToGrid w:val="0"/>
                    <w:spacing w:line="360" w:lineRule="auto"/>
                    <w:ind w:firstLine="120" w:firstLineChars="50"/>
                    <w:jc w:val="center"/>
                    <w:rPr>
                      <w:rFonts w:ascii="宋体" w:hAnsi="宋体" w:cs="宋体"/>
                      <w:color w:val="auto"/>
                      <w:sz w:val="24"/>
                      <w:szCs w:val="24"/>
                    </w:rPr>
                  </w:pPr>
                  <w:r>
                    <w:rPr>
                      <w:rFonts w:hint="eastAsia" w:ascii="宋体" w:hAnsi="宋体" w:cs="宋体"/>
                      <w:color w:val="auto"/>
                      <w:sz w:val="24"/>
                      <w:szCs w:val="24"/>
                    </w:rPr>
                    <w:t>成交金额(万元</w:t>
                  </w:r>
                </w:p>
              </w:tc>
              <w:tc>
                <w:tcPr>
                  <w:tcW w:w="2700" w:type="dxa"/>
                </w:tcPr>
                <w:p>
                  <w:pPr>
                    <w:wordWrap w:val="0"/>
                    <w:adjustRightInd w:val="0"/>
                    <w:snapToGrid w:val="0"/>
                    <w:spacing w:line="360" w:lineRule="auto"/>
                    <w:ind w:firstLine="120" w:firstLineChars="50"/>
                    <w:jc w:val="center"/>
                    <w:rPr>
                      <w:rFonts w:ascii="宋体" w:hAnsi="宋体" w:cs="宋体"/>
                      <w:color w:val="auto"/>
                      <w:sz w:val="24"/>
                      <w:szCs w:val="24"/>
                    </w:rPr>
                  </w:pPr>
                  <w:r>
                    <w:rPr>
                      <w:rFonts w:hint="eastAsia" w:ascii="宋体" w:hAnsi="宋体" w:cs="宋体"/>
                      <w:color w:val="auto"/>
                      <w:sz w:val="24"/>
                      <w:szCs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wordWrap w:val="0"/>
                    <w:adjustRightInd w:val="0"/>
                    <w:snapToGrid w:val="0"/>
                    <w:spacing w:line="360" w:lineRule="auto"/>
                    <w:ind w:firstLine="120" w:firstLineChars="50"/>
                    <w:jc w:val="center"/>
                    <w:rPr>
                      <w:rFonts w:ascii="宋体" w:hAnsi="宋体" w:cs="宋体"/>
                      <w:color w:val="auto"/>
                      <w:sz w:val="24"/>
                      <w:szCs w:val="24"/>
                    </w:rPr>
                  </w:pPr>
                  <w:r>
                    <w:rPr>
                      <w:rFonts w:hint="eastAsia" w:ascii="宋体" w:hAnsi="宋体" w:cs="宋体"/>
                      <w:color w:val="auto"/>
                      <w:sz w:val="24"/>
                      <w:szCs w:val="24"/>
                    </w:rPr>
                    <w:t>[0―100]</w:t>
                  </w:r>
                </w:p>
              </w:tc>
              <w:tc>
                <w:tcPr>
                  <w:tcW w:w="2700" w:type="dxa"/>
                </w:tcPr>
                <w:p>
                  <w:pPr>
                    <w:wordWrap w:val="0"/>
                    <w:adjustRightInd w:val="0"/>
                    <w:snapToGrid w:val="0"/>
                    <w:spacing w:line="360" w:lineRule="auto"/>
                    <w:ind w:firstLine="120" w:firstLineChars="50"/>
                    <w:jc w:val="center"/>
                    <w:rPr>
                      <w:rFonts w:ascii="宋体" w:hAnsi="宋体" w:cs="宋体"/>
                      <w:color w:val="auto"/>
                      <w:sz w:val="24"/>
                      <w:szCs w:val="24"/>
                    </w:rPr>
                  </w:pPr>
                  <w:r>
                    <w:rPr>
                      <w:rFonts w:hint="eastAsia" w:ascii="宋体" w:hAnsi="宋体" w:cs="宋体"/>
                      <w:color w:val="auto"/>
                      <w:sz w:val="24"/>
                      <w:szCs w:val="24"/>
                    </w:rPr>
                    <w:t>1.5%</w:t>
                  </w:r>
                </w:p>
              </w:tc>
            </w:tr>
          </w:tbl>
          <w:p>
            <w:pPr>
              <w:wordWrap w:val="0"/>
              <w:spacing w:line="360" w:lineRule="auto"/>
              <w:rPr>
                <w:rFonts w:ascii="宋体" w:hAnsi="宋体" w:cs="宋体"/>
                <w:color w:val="auto"/>
                <w:sz w:val="24"/>
                <w:szCs w:val="24"/>
              </w:rPr>
            </w:pPr>
            <w:r>
              <w:rPr>
                <w:rFonts w:hint="eastAsia" w:ascii="宋体" w:hAnsi="宋体" w:cs="宋体"/>
                <w:color w:val="auto"/>
                <w:sz w:val="24"/>
                <w:szCs w:val="24"/>
              </w:rPr>
              <w:t>注：1、采购代理服务费的收取按差额定率累进法计算,由成交供应商支付。若按上述标准计算完后代理服务费不足3000元，则招标代理机构按3000元计取。（</w:t>
            </w:r>
            <w:r>
              <w:rPr>
                <w:rFonts w:hint="eastAsia" w:ascii="宋体" w:hAnsi="宋体" w:cs="宋体"/>
                <w:b/>
                <w:bCs/>
                <w:color w:val="auto"/>
                <w:sz w:val="24"/>
                <w:szCs w:val="24"/>
              </w:rPr>
              <w:t>付款时请备注：</w:t>
            </w:r>
            <w:r>
              <w:rPr>
                <w:rFonts w:hint="eastAsia" w:ascii="宋体" w:hAnsi="宋体" w:cs="宋体"/>
                <w:b/>
                <w:bCs/>
                <w:color w:val="auto"/>
                <w:sz w:val="24"/>
                <w:szCs w:val="24"/>
                <w:lang w:eastAsia="zh-CN"/>
              </w:rPr>
              <w:t>JXFZ2023-XM0217</w:t>
            </w:r>
            <w:r>
              <w:rPr>
                <w:rFonts w:hint="eastAsia" w:ascii="宋体" w:hAnsi="宋体" w:cs="宋体"/>
                <w:b/>
                <w:bCs/>
                <w:color w:val="auto"/>
                <w:sz w:val="24"/>
                <w:szCs w:val="24"/>
              </w:rPr>
              <w:t>代理服务费</w:t>
            </w:r>
            <w:r>
              <w:rPr>
                <w:rFonts w:hint="eastAsia" w:ascii="宋体" w:hAnsi="宋体" w:cs="宋体"/>
                <w:color w:val="auto"/>
                <w:sz w:val="24"/>
                <w:szCs w:val="24"/>
              </w:rPr>
              <w:t>）</w:t>
            </w:r>
          </w:p>
          <w:p>
            <w:pPr>
              <w:wordWrap w:val="0"/>
              <w:spacing w:line="360" w:lineRule="auto"/>
              <w:rPr>
                <w:rFonts w:ascii="宋体" w:hAnsi="宋体" w:cs="宋体"/>
                <w:color w:val="auto"/>
                <w:sz w:val="24"/>
                <w:szCs w:val="24"/>
              </w:rPr>
            </w:pPr>
            <w:r>
              <w:rPr>
                <w:rFonts w:hint="eastAsia" w:ascii="宋体" w:hAnsi="宋体" w:cs="宋体"/>
                <w:color w:val="auto"/>
                <w:sz w:val="24"/>
                <w:szCs w:val="24"/>
              </w:rPr>
              <w:t>2、成交供应商在领取成交通知书前，以转账或汇款方式提交。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8</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70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其他：本项目仅采购程序参照《中华人民共和国政府采购法》、《政府采购竞争性磋商采购方式管理暂行办法》的要求执行，其他具体要求内容以本采购文件规定为准。 </w:t>
            </w:r>
          </w:p>
        </w:tc>
      </w:tr>
    </w:tbl>
    <w:p>
      <w:pPr>
        <w:pStyle w:val="2"/>
        <w:pageBreakBefore/>
        <w:widowControl/>
        <w:wordWrap w:val="0"/>
        <w:spacing w:before="0" w:after="0" w:line="360" w:lineRule="auto"/>
        <w:rPr>
          <w:rFonts w:ascii="宋体" w:hAnsi="宋体"/>
          <w:b w:val="0"/>
          <w:color w:val="auto"/>
          <w:sz w:val="32"/>
          <w:u w:val="single"/>
        </w:rPr>
      </w:pPr>
      <w:bookmarkStart w:id="34" w:name="_Toc30555"/>
      <w:bookmarkStart w:id="35" w:name="_Toc26772"/>
      <w:bookmarkStart w:id="36" w:name="_Toc10881"/>
      <w:bookmarkStart w:id="37" w:name="_Toc78368506"/>
      <w:bookmarkStart w:id="38" w:name="_Toc12583"/>
      <w:bookmarkStart w:id="39" w:name="_Toc28124"/>
      <w:bookmarkStart w:id="40" w:name="_Toc15635"/>
      <w:bookmarkStart w:id="41" w:name="_Toc14862"/>
      <w:bookmarkStart w:id="42" w:name="_Toc26299"/>
      <w:r>
        <w:rPr>
          <w:rFonts w:hint="eastAsia" w:ascii="宋体" w:hAnsi="宋体"/>
          <w:color w:val="auto"/>
          <w:sz w:val="28"/>
          <w:szCs w:val="28"/>
        </w:rPr>
        <w:t>报价人须知前附表2：资格性、符合性检查表</w:t>
      </w:r>
      <w:bookmarkEnd w:id="34"/>
      <w:bookmarkEnd w:id="35"/>
      <w:bookmarkEnd w:id="36"/>
      <w:bookmarkEnd w:id="37"/>
      <w:bookmarkEnd w:id="38"/>
      <w:bookmarkEnd w:id="39"/>
      <w:bookmarkEnd w:id="40"/>
      <w:bookmarkEnd w:id="41"/>
      <w:bookmarkEnd w:id="42"/>
    </w:p>
    <w:p>
      <w:pPr>
        <w:wordWrap w:val="0"/>
        <w:spacing w:line="360" w:lineRule="auto"/>
        <w:ind w:firstLine="495"/>
        <w:rPr>
          <w:rFonts w:ascii="宋体" w:hAnsi="宋体"/>
          <w:color w:val="auto"/>
          <w:sz w:val="24"/>
          <w:szCs w:val="24"/>
        </w:rPr>
      </w:pPr>
      <w:r>
        <w:rPr>
          <w:rFonts w:hint="eastAsia" w:ascii="宋体" w:hAnsi="宋体"/>
          <w:color w:val="auto"/>
          <w:sz w:val="24"/>
          <w:szCs w:val="24"/>
        </w:rPr>
        <w:t>本须知前附表2集中列示了资格性、符合性检查的所有条款，其内容是磋商小组判断报价人的报价是否有效的重要依据。</w:t>
      </w: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56"/>
        <w:gridCol w:w="742"/>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pStyle w:val="4"/>
              <w:wordWrap w:val="0"/>
              <w:spacing w:before="0" w:after="0" w:line="360" w:lineRule="auto"/>
              <w:ind w:left="210"/>
              <w:jc w:val="center"/>
              <w:rPr>
                <w:rFonts w:ascii="宋体" w:hAnsi="宋体"/>
                <w:color w:val="auto"/>
                <w:szCs w:val="24"/>
              </w:rPr>
            </w:pPr>
            <w:bookmarkStart w:id="43" w:name="_Toc78368507"/>
            <w:bookmarkStart w:id="44" w:name="_Toc183"/>
            <w:r>
              <w:rPr>
                <w:rFonts w:hint="eastAsia" w:ascii="宋体" w:hAnsi="宋体"/>
                <w:color w:val="auto"/>
                <w:szCs w:val="24"/>
              </w:rPr>
              <w:t>资格性要求</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项号</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章</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条款号</w:t>
            </w:r>
          </w:p>
        </w:tc>
        <w:tc>
          <w:tcPr>
            <w:tcW w:w="68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jc w:val="left"/>
              <w:rPr>
                <w:rFonts w:hAnsi="宋体" w:cs="宋体"/>
                <w:b/>
                <w:color w:val="auto"/>
                <w:kern w:val="2"/>
                <w:sz w:val="24"/>
                <w:szCs w:val="24"/>
              </w:rPr>
            </w:pPr>
            <w:r>
              <w:rPr>
                <w:rFonts w:hint="eastAsia" w:hAnsi="宋体" w:cs="宋体"/>
                <w:b/>
                <w:color w:val="auto"/>
                <w:kern w:val="2"/>
                <w:sz w:val="24"/>
                <w:szCs w:val="24"/>
              </w:rPr>
              <w:t>3.合格的报价人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3.1凡有能力提供本采购文件所货物的，符合本采购文件规定资格要求的报价人均可能成为合格的报价人，并提供以下证明文件：</w:t>
            </w:r>
          </w:p>
          <w:p>
            <w:pPr>
              <w:wordWrap w:val="0"/>
              <w:spacing w:line="360" w:lineRule="auto"/>
              <w:ind w:firstLine="481" w:firstLineChars="200"/>
              <w:rPr>
                <w:rFonts w:ascii="宋体" w:hAnsi="宋体"/>
                <w:color w:val="auto"/>
                <w:sz w:val="24"/>
                <w:szCs w:val="24"/>
              </w:rPr>
            </w:pPr>
            <w:bookmarkStart w:id="45" w:name="_Hlk131434192"/>
            <w:r>
              <w:rPr>
                <w:rFonts w:hint="eastAsia" w:ascii="宋体" w:hAnsi="宋体"/>
                <w:b/>
                <w:bCs/>
                <w:color w:val="auto"/>
                <w:sz w:val="24"/>
                <w:szCs w:val="24"/>
              </w:rPr>
              <w:t>（一）营业执照等证明文件</w:t>
            </w:r>
            <w:r>
              <w:rPr>
                <w:rFonts w:hint="eastAsia" w:ascii="宋体" w:hAnsi="宋体"/>
                <w:color w:val="auto"/>
                <w:sz w:val="24"/>
                <w:szCs w:val="24"/>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w:t>
            </w:r>
            <w:del w:id="15" w:author="FYD" w:date="2023-05-25T16:18:25Z">
              <w:r>
                <w:rPr>
                  <w:rFonts w:hint="eastAsia" w:ascii="宋体" w:hAnsi="宋体"/>
                  <w:color w:val="auto"/>
                  <w:sz w:val="24"/>
                  <w:szCs w:val="24"/>
                </w:rPr>
                <w:delText>报价人为自然人的，提供有效的自然人身份证件复印件；</w:delText>
              </w:r>
            </w:del>
            <w:r>
              <w:rPr>
                <w:rFonts w:hint="eastAsia" w:ascii="宋体" w:hAnsi="宋体"/>
                <w:color w:val="auto"/>
                <w:sz w:val="24"/>
                <w:szCs w:val="24"/>
              </w:rPr>
              <w:t>其他报价人应按照有关法律、法规和规章规定，提供有效的相应具体证照复印件。</w:t>
            </w:r>
          </w:p>
          <w:p>
            <w:pPr>
              <w:wordWrap w:val="0"/>
              <w:spacing w:line="360" w:lineRule="auto"/>
              <w:ind w:firstLine="481" w:firstLineChars="200"/>
              <w:rPr>
                <w:rFonts w:ascii="宋体" w:hAnsi="宋体" w:cs="宋体"/>
                <w:color w:val="auto"/>
                <w:sz w:val="24"/>
                <w:szCs w:val="24"/>
              </w:rPr>
            </w:pPr>
            <w:r>
              <w:rPr>
                <w:rFonts w:hint="eastAsia" w:ascii="宋体" w:hAnsi="宋体" w:cs="宋体"/>
                <w:b/>
                <w:bCs/>
                <w:color w:val="auto"/>
                <w:sz w:val="24"/>
                <w:szCs w:val="24"/>
              </w:rPr>
              <w:t>（二）财务</w:t>
            </w:r>
            <w:r>
              <w:rPr>
                <w:rFonts w:hint="eastAsia" w:ascii="宋体" w:hAnsi="宋体"/>
                <w:b/>
                <w:bCs/>
                <w:color w:val="auto"/>
                <w:sz w:val="24"/>
                <w:szCs w:val="24"/>
              </w:rPr>
              <w:t>状况</w:t>
            </w:r>
            <w:r>
              <w:rPr>
                <w:rFonts w:hint="eastAsia" w:ascii="宋体" w:hAnsi="宋体" w:cs="宋体"/>
                <w:b/>
                <w:bCs/>
                <w:color w:val="auto"/>
                <w:sz w:val="24"/>
                <w:szCs w:val="24"/>
              </w:rPr>
              <w:t>报告（财务报告、或资信证明、或报价担保函）</w:t>
            </w:r>
            <w:r>
              <w:rPr>
                <w:rFonts w:hint="eastAsia" w:ascii="宋体" w:hAnsi="宋体" w:cs="宋体"/>
                <w:color w:val="auto"/>
                <w:sz w:val="24"/>
                <w:szCs w:val="24"/>
              </w:rPr>
              <w:t>：1、报价人提供的财务报告复印件（成立年限按照报价截止时间推算）应符合下列规定：1.1 成立年限满</w:t>
            </w:r>
            <w:r>
              <w:rPr>
                <w:rFonts w:ascii="宋体" w:hAnsi="宋体" w:cs="宋体"/>
                <w:color w:val="auto"/>
                <w:sz w:val="24"/>
                <w:szCs w:val="24"/>
              </w:rPr>
              <w:t>1</w:t>
            </w:r>
            <w:r>
              <w:rPr>
                <w:rFonts w:hint="eastAsia" w:ascii="宋体" w:hAnsi="宋体" w:cs="宋体"/>
                <w:color w:val="auto"/>
                <w:sz w:val="24"/>
                <w:szCs w:val="24"/>
              </w:rPr>
              <w:t>年及以上的报价人，提供上一年度的年度财务报告。1.2 成立年限满半年但不足</w:t>
            </w:r>
            <w:r>
              <w:rPr>
                <w:rFonts w:ascii="宋体" w:hAnsi="宋体" w:cs="宋体"/>
                <w:color w:val="auto"/>
                <w:sz w:val="24"/>
                <w:szCs w:val="24"/>
              </w:rPr>
              <w:t>1</w:t>
            </w:r>
            <w:r>
              <w:rPr>
                <w:rFonts w:hint="eastAsia" w:ascii="宋体" w:hAnsi="宋体" w:cs="宋体"/>
                <w:color w:val="auto"/>
                <w:sz w:val="24"/>
                <w:szCs w:val="24"/>
              </w:rPr>
              <w:t>年的报价人，提供该半年度中任一季度的季度财务报告或该半年度的半年度财务报告。※无法按照第1.1</w:t>
            </w:r>
            <w:r>
              <w:rPr>
                <w:rFonts w:ascii="宋体" w:hAnsi="宋体" w:cs="宋体"/>
                <w:color w:val="auto"/>
                <w:sz w:val="24"/>
                <w:szCs w:val="24"/>
              </w:rPr>
              <w:t>、</w:t>
            </w:r>
            <w:r>
              <w:rPr>
                <w:rFonts w:hint="eastAsia" w:ascii="宋体" w:hAnsi="宋体" w:cs="宋体"/>
                <w:color w:val="auto"/>
                <w:sz w:val="24"/>
                <w:szCs w:val="24"/>
              </w:rPr>
              <w:t>1.2条规定提供财务报告复印件的报价人（包括但不限于：成立年限满</w:t>
            </w:r>
            <w:r>
              <w:rPr>
                <w:rFonts w:ascii="宋体" w:hAnsi="宋体" w:cs="宋体"/>
                <w:color w:val="auto"/>
                <w:sz w:val="24"/>
                <w:szCs w:val="24"/>
              </w:rPr>
              <w:t>1</w:t>
            </w:r>
            <w:r>
              <w:rPr>
                <w:rFonts w:hint="eastAsia" w:ascii="宋体" w:hAnsi="宋体" w:cs="宋体"/>
                <w:color w:val="auto"/>
                <w:sz w:val="24"/>
                <w:szCs w:val="24"/>
              </w:rPr>
              <w:t>年及以上的报价人、成立年限满半年但不足</w:t>
            </w:r>
            <w:r>
              <w:rPr>
                <w:rFonts w:ascii="宋体" w:hAnsi="宋体" w:cs="宋体"/>
                <w:color w:val="auto"/>
                <w:sz w:val="24"/>
                <w:szCs w:val="24"/>
              </w:rPr>
              <w:t>1</w:t>
            </w:r>
            <w:r>
              <w:rPr>
                <w:rFonts w:hint="eastAsia" w:ascii="宋体" w:hAnsi="宋体" w:cs="宋体"/>
                <w:color w:val="auto"/>
                <w:sz w:val="24"/>
                <w:szCs w:val="24"/>
              </w:rPr>
              <w:t>年的报价人、成立年限不足半年的报价人），应选择提供资信证明复印件或报价担保函复印件。2</w:t>
            </w:r>
            <w:r>
              <w:rPr>
                <w:rFonts w:ascii="宋体" w:hAnsi="宋体" w:cs="宋体"/>
                <w:color w:val="auto"/>
                <w:sz w:val="24"/>
                <w:szCs w:val="24"/>
              </w:rPr>
              <w:t>、</w:t>
            </w:r>
            <w:r>
              <w:rPr>
                <w:rFonts w:hint="eastAsia" w:ascii="宋体" w:hAnsi="宋体" w:cs="宋体"/>
                <w:color w:val="auto"/>
                <w:sz w:val="24"/>
                <w:szCs w:val="24"/>
              </w:rPr>
              <w:t>“财政部门认可的政府采购专业担保机构”应符合《财政部关于开展政府采购信用担保试点工作方案》（财库 [2011]124号）的规定。</w:t>
            </w:r>
            <w:r>
              <w:rPr>
                <w:rFonts w:hint="eastAsia" w:ascii="宋体" w:hAnsi="宋体" w:cs="宋体"/>
                <w:b/>
                <w:bCs/>
                <w:color w:val="auto"/>
                <w:sz w:val="24"/>
                <w:szCs w:val="24"/>
              </w:rPr>
              <w:t>供应商上一年度的财务审计报告尚未完成且提交响应（报价）文件时间在1月1日至6月</w:t>
            </w:r>
            <w:r>
              <w:rPr>
                <w:rFonts w:ascii="宋体" w:hAnsi="宋体" w:cs="宋体"/>
                <w:b/>
                <w:bCs/>
                <w:color w:val="auto"/>
                <w:sz w:val="24"/>
                <w:szCs w:val="24"/>
              </w:rPr>
              <w:t>30</w:t>
            </w:r>
            <w:r>
              <w:rPr>
                <w:rFonts w:hint="eastAsia" w:ascii="宋体" w:hAnsi="宋体" w:cs="宋体"/>
                <w:b/>
                <w:bCs/>
                <w:color w:val="auto"/>
                <w:sz w:val="24"/>
                <w:szCs w:val="24"/>
              </w:rPr>
              <w:t>日的，可提供经审计的2</w:t>
            </w:r>
            <w:r>
              <w:rPr>
                <w:rFonts w:ascii="宋体" w:hAnsi="宋体" w:cs="宋体"/>
                <w:b/>
                <w:bCs/>
                <w:color w:val="auto"/>
                <w:sz w:val="24"/>
                <w:szCs w:val="24"/>
              </w:rPr>
              <w:t>021</w:t>
            </w:r>
            <w:r>
              <w:rPr>
                <w:rFonts w:hint="eastAsia" w:ascii="宋体" w:hAnsi="宋体" w:cs="宋体"/>
                <w:b/>
                <w:bCs/>
                <w:color w:val="auto"/>
                <w:sz w:val="24"/>
                <w:szCs w:val="24"/>
              </w:rPr>
              <w:t>年年度财务报告，磋商采购文件其他要求与本要求不一致的，以本要求为准。</w:t>
            </w:r>
          </w:p>
          <w:p>
            <w:pPr>
              <w:wordWrap w:val="0"/>
              <w:spacing w:line="360" w:lineRule="auto"/>
              <w:ind w:firstLine="481" w:firstLineChars="200"/>
              <w:rPr>
                <w:rFonts w:ascii="宋体" w:hAnsi="宋体"/>
                <w:color w:val="auto"/>
                <w:sz w:val="24"/>
                <w:szCs w:val="24"/>
              </w:rPr>
            </w:pPr>
            <w:bookmarkStart w:id="46" w:name="_Hlk113017461"/>
            <w:r>
              <w:rPr>
                <w:rFonts w:hint="eastAsia" w:ascii="宋体" w:hAnsi="宋体"/>
                <w:b/>
                <w:bCs/>
                <w:color w:val="auto"/>
                <w:sz w:val="24"/>
                <w:szCs w:val="24"/>
              </w:rPr>
              <w:t>（三）依法缴纳税收证明材料</w:t>
            </w:r>
            <w:r>
              <w:rPr>
                <w:rFonts w:hint="eastAsia" w:ascii="宋体" w:hAnsi="宋体"/>
                <w:color w:val="auto"/>
                <w:sz w:val="24"/>
                <w:szCs w:val="24"/>
              </w:rPr>
              <w:t>：1、报价人提供的税收凭据复印件应符合下列规定：1.1报价截止时间前（不含报价截止时间的当月）已依法缴纳税收的报价人，提供报价截止时间前六个月（不含报价截止时间的当月）中任一月份的税收凭据复印件。1.2报价截止时间的当月成立且已依法缴纳税收的报价人，提供报价截止时间当月的税收凭据复印件。1.3报价截止时间的当月成立但因税务机关原因导致其尚未依法缴纳税收的报价人，提供依法缴纳税收承诺书原件（格式自拟），该承诺书视同税收凭据。2、“依法缴纳税收证明材料”有欠缴记录的，视为未依法缴纳税收。3、因疫情原因缓交、免交的，须提供书面说明及相关证明材料。</w:t>
            </w:r>
          </w:p>
          <w:p>
            <w:pPr>
              <w:wordWrap w:val="0"/>
              <w:spacing w:line="360" w:lineRule="auto"/>
              <w:ind w:firstLine="481" w:firstLineChars="200"/>
              <w:rPr>
                <w:rFonts w:ascii="宋体" w:hAnsi="宋体"/>
                <w:color w:val="auto"/>
                <w:sz w:val="24"/>
                <w:szCs w:val="24"/>
              </w:rPr>
            </w:pPr>
            <w:r>
              <w:rPr>
                <w:rFonts w:hint="eastAsia" w:ascii="宋体" w:hAnsi="宋体"/>
                <w:b/>
                <w:bCs/>
                <w:color w:val="auto"/>
                <w:sz w:val="24"/>
                <w:szCs w:val="24"/>
              </w:rPr>
              <w:t>（四）依法缴纳社会保障资金证明材料</w:t>
            </w:r>
            <w:r>
              <w:rPr>
                <w:rFonts w:hint="eastAsia" w:ascii="宋体" w:hAnsi="宋体"/>
                <w:color w:val="auto"/>
                <w:sz w:val="24"/>
                <w:szCs w:val="24"/>
              </w:rPr>
              <w:t>：1、报价人提供的社会保险凭据复印件应符合下列规定：1.1报价截止时间前（不含报价截止时间的当月）已依法缴纳社会保障资金的报价人，提供报价截止时间前六个月（不含报价截止时间的当月）中任一月份的社会保险凭据复印件。1.2报价截止时间的当月成立且已依法缴纳社会保障资金的报价人，提供报价截止时间当月的社会保险凭据复印件。1.3报价截止时间的当月成立但因税务机关/社会保障资金管理机关原因导致其尚未依法缴纳社会保障资金的报价人，提供依法缴纳社会保障资金承诺书原件（格式自拟），该承诺书视同社会保险凭据。2、“依法缴纳社会保障资金证明材料”有欠缴记录的，视为未依法缴纳社会保障资金。3、因疫情原因缓交、免交的，须提供书面说明及相关证明材料。</w:t>
            </w:r>
          </w:p>
          <w:p>
            <w:pPr>
              <w:wordWrap w:val="0"/>
              <w:spacing w:line="360" w:lineRule="auto"/>
              <w:ind w:firstLine="481" w:firstLineChars="200"/>
              <w:rPr>
                <w:rFonts w:ascii="宋体" w:hAnsi="宋体"/>
                <w:b/>
                <w:bCs/>
                <w:color w:val="auto"/>
                <w:sz w:val="24"/>
                <w:szCs w:val="24"/>
              </w:rPr>
            </w:pPr>
            <w:r>
              <w:rPr>
                <w:rFonts w:hint="eastAsia" w:ascii="宋体" w:hAnsi="宋体"/>
                <w:b/>
                <w:bCs/>
                <w:color w:val="auto"/>
                <w:sz w:val="24"/>
                <w:szCs w:val="24"/>
              </w:rPr>
              <w:t>（五）参加采购活动前3 年内在经营活动中没有重大违法记录的书面声明。</w:t>
            </w:r>
          </w:p>
          <w:p>
            <w:pPr>
              <w:wordWrap w:val="0"/>
              <w:spacing w:line="360" w:lineRule="auto"/>
              <w:ind w:firstLine="481" w:firstLineChars="200"/>
              <w:rPr>
                <w:rFonts w:ascii="宋体" w:hAnsi="宋体"/>
                <w:color w:val="auto"/>
                <w:sz w:val="24"/>
                <w:szCs w:val="24"/>
              </w:rPr>
            </w:pPr>
            <w:r>
              <w:rPr>
                <w:rFonts w:hint="eastAsia" w:ascii="宋体" w:hAnsi="宋体"/>
                <w:b/>
                <w:bCs/>
                <w:color w:val="auto"/>
                <w:sz w:val="24"/>
                <w:szCs w:val="24"/>
              </w:rPr>
              <w:t>（六）具备履行合同所必需的设备和专业技术能力的证明材料（可以提供证明材料、承诺书等）。</w:t>
            </w:r>
          </w:p>
          <w:p>
            <w:pPr>
              <w:wordWrap w:val="0"/>
              <w:spacing w:line="360" w:lineRule="auto"/>
              <w:ind w:firstLine="481" w:firstLineChars="200"/>
              <w:rPr>
                <w:rFonts w:ascii="宋体" w:hAnsi="宋体"/>
                <w:color w:val="auto"/>
                <w:sz w:val="24"/>
                <w:szCs w:val="24"/>
              </w:rPr>
            </w:pPr>
            <w:r>
              <w:rPr>
                <w:rFonts w:hint="eastAsia" w:ascii="宋体" w:hAnsi="宋体"/>
                <w:b/>
                <w:bCs/>
                <w:color w:val="auto"/>
                <w:sz w:val="24"/>
                <w:szCs w:val="24"/>
              </w:rPr>
              <w:t>（七）报价人代表若不是企业法定代表人，需提供法人授权书原件并提供被授权代表的身份证复印件。</w:t>
            </w:r>
          </w:p>
          <w:bookmarkEnd w:id="46"/>
          <w:p>
            <w:pPr>
              <w:wordWrap w:val="0"/>
              <w:spacing w:line="360" w:lineRule="auto"/>
              <w:ind w:firstLine="480" w:firstLineChars="200"/>
              <w:rPr>
                <w:rFonts w:ascii="宋体" w:hAnsi="宋体"/>
                <w:color w:val="auto"/>
                <w:sz w:val="24"/>
                <w:szCs w:val="24"/>
              </w:rPr>
            </w:pPr>
            <w:bookmarkStart w:id="47" w:name="_Hlk113017473"/>
            <w:r>
              <w:rPr>
                <w:rFonts w:hint="eastAsia" w:ascii="宋体" w:hAnsi="宋体"/>
                <w:color w:val="auto"/>
                <w:sz w:val="24"/>
                <w:szCs w:val="24"/>
              </w:rPr>
              <w:t>（八）磋商小组将在资格审核时通过“信用中国”网站（www.creditchina.gov.cn）、中国政府采购网（www.ccgp.gov.cn）、“信用厦门”（http://credit.xm.gov.cn/）查询并打印各报价人的信用记录，查询结果存在报价人应被拒绝参与政府采购活动相关信息的，其资格审查不合格。</w:t>
            </w:r>
          </w:p>
          <w:p>
            <w:pPr>
              <w:wordWrap w:val="0"/>
              <w:spacing w:line="360" w:lineRule="auto"/>
              <w:ind w:firstLine="481" w:firstLineChars="200"/>
              <w:rPr>
                <w:rFonts w:ascii="宋体" w:hAnsi="宋体"/>
                <w:color w:val="auto"/>
                <w:sz w:val="24"/>
                <w:szCs w:val="24"/>
              </w:rPr>
            </w:pPr>
            <w:r>
              <w:rPr>
                <w:rFonts w:hint="eastAsia" w:ascii="宋体" w:hAnsi="宋体"/>
                <w:b/>
                <w:bCs/>
                <w:color w:val="auto"/>
                <w:sz w:val="24"/>
                <w:szCs w:val="24"/>
              </w:rPr>
              <w:t>（九）本项目不接受联合体报价，取消采购文件中有关联合体的所有规定。</w:t>
            </w:r>
            <w:bookmarkEnd w:id="47"/>
          </w:p>
          <w:bookmarkEnd w:id="45"/>
          <w:p>
            <w:pPr>
              <w:wordWrap w:val="0"/>
              <w:spacing w:line="360" w:lineRule="auto"/>
              <w:rPr>
                <w:rFonts w:ascii="宋体" w:hAnsi="宋体"/>
                <w:color w:val="auto"/>
                <w:sz w:val="24"/>
                <w:szCs w:val="24"/>
              </w:rPr>
            </w:pPr>
            <w:r>
              <w:rPr>
                <w:rFonts w:hint="eastAsia" w:ascii="宋体" w:hAnsi="宋体"/>
                <w:color w:val="auto"/>
                <w:sz w:val="24"/>
                <w:szCs w:val="24"/>
              </w:rPr>
              <w:t>注：</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1、报价人提供的相应证明材料复印件均应符合：内容完整、清晰、整洁，并由报价人加盖其单位公章。</w:t>
            </w:r>
          </w:p>
          <w:p>
            <w:pPr>
              <w:wordWrap w:val="0"/>
              <w:spacing w:line="360" w:lineRule="auto"/>
              <w:ind w:firstLine="480"/>
              <w:rPr>
                <w:rFonts w:ascii="宋体" w:hAnsi="宋体"/>
                <w:color w:val="auto"/>
                <w:sz w:val="24"/>
                <w:szCs w:val="24"/>
              </w:rPr>
            </w:pPr>
            <w:r>
              <w:rPr>
                <w:rFonts w:hint="eastAsia" w:ascii="宋体" w:hAnsi="宋体"/>
                <w:color w:val="auto"/>
                <w:sz w:val="24"/>
                <w:szCs w:val="24"/>
              </w:rPr>
              <w:t>2、报价人不满足上述规定的基本资格条件或提供资格证明文件不全的，其报价无效，以上资格证明文件为复印件的，须加盖报价人公章，且原件备查。</w:t>
            </w:r>
          </w:p>
          <w:p>
            <w:pPr>
              <w:wordWrap w:val="0"/>
              <w:spacing w:line="360" w:lineRule="auto"/>
              <w:ind w:firstLine="480"/>
              <w:rPr>
                <w:rFonts w:ascii="宋体" w:hAnsi="宋体"/>
                <w:b/>
                <w:bCs/>
                <w:color w:val="auto"/>
                <w:sz w:val="24"/>
                <w:szCs w:val="24"/>
              </w:rPr>
            </w:pPr>
            <w:r>
              <w:rPr>
                <w:rFonts w:hint="eastAsia" w:ascii="宋体" w:hAnsi="宋体"/>
                <w:b/>
                <w:bCs/>
                <w:color w:val="auto"/>
                <w:sz w:val="24"/>
                <w:szCs w:val="24"/>
              </w:rPr>
              <w:t>3、本项目基本资格条件采取“信用承诺制”</w:t>
            </w:r>
            <w:r>
              <w:rPr>
                <w:rFonts w:ascii="宋体" w:hAnsi="宋体"/>
                <w:b/>
                <w:bCs/>
                <w:color w:val="auto"/>
                <w:sz w:val="24"/>
                <w:szCs w:val="24"/>
              </w:rPr>
              <w:t>，</w:t>
            </w:r>
            <w:r>
              <w:rPr>
                <w:rFonts w:hint="eastAsia" w:ascii="宋体" w:hAnsi="宋体"/>
                <w:b/>
                <w:bCs/>
                <w:color w:val="auto"/>
                <w:sz w:val="24"/>
                <w:szCs w:val="24"/>
              </w:rPr>
              <w:t>供应商提供资格承诺函（格式见“第五章 报价文件格式”）的即可参加采购活动，如提供资格承诺函的，在投标（响应）文件中可无需再提供财务状况报告、依法缴纳税收和社会保障资金的相关证明材料。供应商应当遵循诚实信用原则，不得作虚假承诺。供应商承诺不实的，属于提供虚假材料谋取中标、成交供应商应依法承担相应的法律责任。</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3.2报价人应遵守有关法律、法规和规章的规定，同时其响应货物也应符合有关法律、法规和规章的规定。</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3.3一个报价人只能提交一个报价文件。如果报价人之间存在下列互为关联关系的情形之一的，不得同时参加本项目同一合同包响应：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(1)法定代表人、单位负责人为同一人或夫妻关系的不同报价人；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(2)存在直接控股、管理关系的不同报价人；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(3)均为同一家母公司直接或间接持股50％及以上的被投资公司。</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3.4报价人不得与本次磋商项下设计、编制技术规格和其他文件的公司或提供咨询服务的公司包括其附属机构有任何关联。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3.5若接受联合体磋商，则两个或者两个以上报价人可以组成一个响应联合体，以一个报价人的身份响应。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以联合体形式参加磋商的，联合体各方均应当符合合格的报价人相关规定。采购人根据采购项目的特殊要求规定报价人特定条件的，联合体各方中至少应当有一方符合采购人规定的全部特定条件，如联合体各方中没有一方符合全部特定条件的，该联合体响应无效。</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以联合体形式响应的，除本采购文件其他章节或本须知其他条款另有规定或要求外，报价文件中仅加盖联合体一方公章的相关文件，对联合体各方均具有约束力。</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w:t>
            </w:r>
            <w:r>
              <w:rPr>
                <w:rFonts w:hint="eastAsia" w:ascii="宋体" w:hAnsi="宋体" w:cs="宋体"/>
                <w:color w:val="auto"/>
                <w:sz w:val="24"/>
                <w:szCs w:val="24"/>
              </w:rPr>
              <w:t>项目如涉及资质要求，该部分内容应由联合体中具有该资质要求的报价人承担。联合体协议及签订的采购合同应包含此项内容。</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(4)联合体中有同类资质的报价人按照联合体分工承担相同工作的，应当按照资质等级较低的报价人确定资质等级。</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3.6磋商代理人在同一个项目中只能接受一个报价人的委托参加磋商响应。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3.7报价人存在下列情形之一的，将被认定为串通响应行为并作无效响应处理：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（1）报价人之间协商磋商报价等采购文件的实质性内容；</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（2）报价人之间约定成交供应商；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（3）报价人之间约定部分报价人放弃磋商响应或者成交；</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（4）属于同一集团、协会、商会等组织成员的报价人按照该组织要求协同磋商响应；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（5）报价人之间为谋取成交或者排斥特定报价人而采取的其他联合行动；</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（6）不同报价人的报价文件由同一单位或者个人编制；</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（7）不同报价人委托同一单位或者个人办理磋商响应事宜；</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（8）不同报价人的报价文件载明的项目管理成员为同一人；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（9）不同报价人的报价文件异常一致或者报价呈规律性差异；</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（10）不同报价人的报价文件相互混装；</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（11）不同报价人的磋商保证金从同一单位或者个人的账户转出。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（12）不同报价人的报价文件错、漏之处一致或雷同，且不能合理解释的；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（13）不同的报价人的法定代表人、委托代理人等由同一个单位缴纳社会保险的；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（14）由同一人或分别由几个有利害关系的人携带两个以上（含两个）报价人的企业资料参与资格审查、领取采购资料，或代表两个以上（含两个）报价人参加项目答疑会、交纳或退还磋商保证金、参加磋商的；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4"/>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项号</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章</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条款号</w:t>
            </w:r>
          </w:p>
        </w:tc>
        <w:tc>
          <w:tcPr>
            <w:tcW w:w="68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一</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6828" w:type="dxa"/>
            <w:tcBorders>
              <w:top w:val="single" w:color="auto" w:sz="4" w:space="0"/>
              <w:left w:val="single" w:color="auto" w:sz="4" w:space="0"/>
              <w:bottom w:val="single" w:color="auto" w:sz="4" w:space="0"/>
              <w:right w:val="single" w:color="auto" w:sz="4" w:space="0"/>
            </w:tcBorders>
          </w:tcPr>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8</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jc w:val="left"/>
              <w:rPr>
                <w:rFonts w:hAnsi="宋体" w:cs="宋体"/>
                <w:bCs/>
                <w:color w:val="auto"/>
                <w:kern w:val="2"/>
                <w:sz w:val="24"/>
                <w:szCs w:val="24"/>
              </w:rPr>
            </w:pPr>
            <w:r>
              <w:rPr>
                <w:rFonts w:hint="eastAsia" w:hAnsi="宋体" w:cs="宋体"/>
                <w:bCs/>
                <w:color w:val="auto"/>
                <w:kern w:val="2"/>
                <w:sz w:val="24"/>
                <w:szCs w:val="24"/>
              </w:rPr>
              <w:t>8.要求</w:t>
            </w:r>
          </w:p>
          <w:p>
            <w:pPr>
              <w:pStyle w:val="16"/>
              <w:wordWrap w:val="0"/>
              <w:spacing w:line="360" w:lineRule="auto"/>
              <w:ind w:firstLine="480"/>
              <w:jc w:val="left"/>
              <w:rPr>
                <w:rFonts w:hAnsi="宋体" w:cs="宋体"/>
                <w:color w:val="auto"/>
                <w:kern w:val="2"/>
                <w:sz w:val="24"/>
                <w:szCs w:val="24"/>
              </w:rPr>
            </w:pPr>
            <w:r>
              <w:rPr>
                <w:rFonts w:hint="eastAsia" w:hAnsi="宋体" w:cs="宋体"/>
                <w:color w:val="auto"/>
                <w:kern w:val="2"/>
                <w:sz w:val="24"/>
                <w:szCs w:val="24"/>
              </w:rPr>
              <w:t>8.1报价人应仔细阅读采购文件的所有内容，按采购文件的要求提供报价文件，报价文件应对采购文件的要求作出实质性响应，并保证所提供的全部资料的真实性，否则其报价文件可被作响应无效处理。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11.1</w:t>
            </w:r>
          </w:p>
        </w:tc>
        <w:tc>
          <w:tcPr>
            <w:tcW w:w="6828" w:type="dxa"/>
            <w:tcBorders>
              <w:top w:val="single" w:color="auto" w:sz="4" w:space="0"/>
              <w:left w:val="single" w:color="auto" w:sz="4" w:space="0"/>
              <w:bottom w:val="single" w:color="auto" w:sz="4" w:space="0"/>
              <w:right w:val="single" w:color="auto" w:sz="4" w:space="0"/>
            </w:tcBorders>
          </w:tcPr>
          <w:p>
            <w:pPr>
              <w:wordWrap w:val="0"/>
              <w:spacing w:line="360" w:lineRule="auto"/>
              <w:rPr>
                <w:rFonts w:ascii="宋体" w:hAnsi="宋体" w:cs="宋体"/>
                <w:color w:val="auto"/>
                <w:sz w:val="24"/>
                <w:szCs w:val="24"/>
              </w:rPr>
            </w:pPr>
            <w:r>
              <w:rPr>
                <w:rFonts w:hint="eastAsia" w:ascii="宋体" w:hAnsi="宋体" w:cs="宋体"/>
                <w:color w:val="auto"/>
                <w:sz w:val="24"/>
                <w:szCs w:val="24"/>
              </w:rPr>
              <w:t>报价文件有效期：</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报价文件提交截止之日起</w:t>
            </w:r>
            <w:r>
              <w:rPr>
                <w:rFonts w:ascii="宋体" w:hAnsi="宋体" w:cs="宋体"/>
                <w:color w:val="auto"/>
                <w:sz w:val="24"/>
                <w:szCs w:val="24"/>
                <w:u w:val="single"/>
              </w:rPr>
              <w:t>90</w:t>
            </w:r>
            <w:r>
              <w:rPr>
                <w:rFonts w:hint="eastAsia" w:ascii="宋体" w:hAnsi="宋体" w:cs="宋体"/>
                <w:color w:val="auto"/>
                <w:sz w:val="24"/>
                <w:szCs w:val="24"/>
              </w:rPr>
              <w:t>个日历日。</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12.5</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13.7</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13.7未按本须知规定的格式填写报价文件、报价文件字迹模糊不清的，其磋商响应将被拒绝。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14</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14.1 报价人应将报价文件正本和副本分别用信封密封，并标明采购文件编号、报价人名称、采购项目名称及“正本”或“副本”。报价文件未密封可导致其磋商被拒绝。</w:t>
            </w:r>
          </w:p>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14.5报价文件应在磋商邀请中规定的截止时间前送达，迟到的报价文件为无效报价文件，将被拒绝。</w:t>
            </w:r>
          </w:p>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14.7报价人在磋商响应截止期后不得修改、撤回报价文件。报价人在报价截止期后修改报价文件的，其磋商响应将被拒绝。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7</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17</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jc w:val="left"/>
              <w:rPr>
                <w:rFonts w:hAnsi="宋体" w:cs="宋体"/>
                <w:color w:val="auto"/>
                <w:kern w:val="2"/>
                <w:sz w:val="24"/>
                <w:szCs w:val="24"/>
              </w:rPr>
            </w:pPr>
            <w:r>
              <w:rPr>
                <w:rFonts w:hint="eastAsia" w:hAnsi="宋体" w:cs="宋体"/>
                <w:color w:val="auto"/>
                <w:kern w:val="2"/>
                <w:sz w:val="24"/>
                <w:szCs w:val="24"/>
              </w:rPr>
              <w:t>17.报价文件的初审</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报价人任何试图影响磋商小组对报价文件的评审、比较或者推荐候选人的行为，都将导致其磋商响应被拒绝，并被没收磋商保证金。</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17.1磋商小组将对报价文件进行审查，以确定报价文件是否完整、有无计算上的错误、是否提交了磋商保证金、文件是否已正确签署。 </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17.2 算术错误将按以下方法更正：</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(1)报价文件中报价一览表内容与报价文件中明细表内容不一致的，以报价一览表为准。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如果报价人不接受按上述方法对报价文件中的算术错误进行更正，其响应将被拒绝并没收其磋商保证金。</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17.3资格性检查和符合性检查 </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wordWrap w:val="0"/>
              <w:spacing w:line="360" w:lineRule="auto"/>
              <w:ind w:left="31" w:leftChars="15" w:firstLine="480" w:firstLineChars="200"/>
              <w:rPr>
                <w:rFonts w:ascii="宋体" w:hAnsi="宋体" w:cs="宋体"/>
                <w:color w:val="auto"/>
                <w:sz w:val="24"/>
                <w:szCs w:val="24"/>
              </w:rPr>
            </w:pPr>
            <w:r>
              <w:rPr>
                <w:rFonts w:hint="eastAsia" w:ascii="宋体" w:hAnsi="宋体" w:cs="宋体"/>
                <w:color w:val="auto"/>
                <w:sz w:val="24"/>
                <w:szCs w:val="24"/>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(1)报价文件未按照本须知规定进行密封、标记的；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(2)未按规定由报价人的法定代表人或其授权代表签字；或未加盖报价人公章的；或签字人未提供法人有效授权委托书的；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(3)未按规定提交磋商保证金的；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(4)磋商响应有效期不满足采购文件要求的；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(5)报价文件内容与采购文件内容及要求有重大偏离或保留的；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(6)报价人提交的是可选择的报价；</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(7)报价人未按采购文件要求进行分项报价；</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(8)报价文件中提供虚假或失实资料的；</w:t>
            </w:r>
          </w:p>
          <w:p>
            <w:pPr>
              <w:wordWrap w:val="0"/>
              <w:spacing w:line="360" w:lineRule="auto"/>
              <w:ind w:left="69" w:firstLine="480" w:firstLineChars="200"/>
              <w:rPr>
                <w:rFonts w:ascii="宋体" w:hAnsi="宋体" w:cs="宋体"/>
                <w:color w:val="auto"/>
                <w:sz w:val="24"/>
                <w:szCs w:val="24"/>
              </w:rPr>
            </w:pPr>
            <w:r>
              <w:rPr>
                <w:rFonts w:hint="eastAsia" w:ascii="宋体" w:hAnsi="宋体" w:cs="宋体"/>
                <w:color w:val="auto"/>
                <w:sz w:val="24"/>
                <w:szCs w:val="24"/>
              </w:rPr>
              <w:t xml:space="preserve">(9)不符合采购文件中规定的其它实质性条款。 </w:t>
            </w:r>
          </w:p>
          <w:p>
            <w:pPr>
              <w:wordWrap w:val="0"/>
              <w:spacing w:line="360" w:lineRule="auto"/>
              <w:ind w:left="69" w:leftChars="33" w:firstLine="480" w:firstLineChars="200"/>
              <w:rPr>
                <w:rFonts w:ascii="宋体" w:hAnsi="宋体" w:cs="宋体"/>
                <w:color w:val="auto"/>
                <w:sz w:val="24"/>
                <w:szCs w:val="24"/>
              </w:rPr>
            </w:pPr>
            <w:r>
              <w:rPr>
                <w:rFonts w:hint="eastAsia" w:ascii="宋体" w:hAnsi="宋体" w:cs="宋体"/>
                <w:color w:val="auto"/>
                <w:sz w:val="24"/>
                <w:szCs w:val="24"/>
              </w:rPr>
              <w:t>磋商小组决定报价的响应性只根据报价文件本身的内容，而不寻求其他的外部证据。</w:t>
            </w:r>
          </w:p>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17.4报价人提交的报价文件将给予保密，但不予退回。</w:t>
            </w:r>
          </w:p>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8</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二</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19.3</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9</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10</w:t>
            </w:r>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三</w:t>
            </w: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rFonts w:hAnsi="宋体" w:cs="宋体"/>
                <w:color w:val="auto"/>
                <w:kern w:val="2"/>
                <w:sz w:val="24"/>
                <w:szCs w:val="24"/>
              </w:rPr>
            </w:pPr>
            <w:r>
              <w:rPr>
                <w:rFonts w:hint="eastAsia" w:hAnsi="宋体" w:cs="宋体"/>
                <w:color w:val="auto"/>
                <w:kern w:val="2"/>
                <w:sz w:val="24"/>
                <w:szCs w:val="24"/>
              </w:rPr>
              <w:t>全文中带有“★”的条款为关键性条款，如报价人对这些关键性条款还存在任何负偏离或不满足将导致报价无效。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6" w:author="FYD" w:date="2023-05-25T16:18:37Z"/>
        </w:trPr>
        <w:tc>
          <w:tcPr>
            <w:tcW w:w="50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ins w:id="17" w:author="FYD" w:date="2023-05-25T16:18:37Z"/>
                <w:rFonts w:hint="eastAsia" w:ascii="宋体" w:hAnsi="宋体" w:cs="宋体"/>
                <w:color w:val="auto"/>
                <w:sz w:val="24"/>
                <w:szCs w:val="24"/>
              </w:rPr>
            </w:pPr>
            <w:bookmarkStart w:id="48" w:name="_Toc3858"/>
            <w:bookmarkStart w:id="49" w:name="_Toc10112"/>
            <w:bookmarkStart w:id="50" w:name="_Toc29410"/>
            <w:bookmarkStart w:id="51" w:name="_Toc23408"/>
            <w:bookmarkStart w:id="52" w:name="_Toc116"/>
            <w:bookmarkStart w:id="53" w:name="_Toc30703"/>
            <w:bookmarkStart w:id="54" w:name="_Toc20725"/>
            <w:bookmarkStart w:id="55" w:name="_Toc78368509"/>
            <w:bookmarkStart w:id="56" w:name="_Toc13692"/>
          </w:p>
        </w:tc>
        <w:tc>
          <w:tcPr>
            <w:tcW w:w="4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ins w:id="18" w:author="FYD" w:date="2023-05-25T16:18:37Z"/>
                <w:rFonts w:hint="eastAsia" w:ascii="宋体" w:hAnsi="宋体" w:cs="宋体"/>
                <w:color w:val="auto"/>
                <w:sz w:val="24"/>
                <w:szCs w:val="24"/>
              </w:rPr>
            </w:pPr>
          </w:p>
        </w:tc>
        <w:tc>
          <w:tcPr>
            <w:tcW w:w="7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ins w:id="19" w:author="FYD" w:date="2023-05-25T16:18:37Z"/>
                <w:rFonts w:hint="eastAsia" w:ascii="宋体" w:hAnsi="宋体" w:cs="宋体"/>
                <w:color w:val="auto"/>
                <w:sz w:val="24"/>
                <w:szCs w:val="24"/>
              </w:rPr>
            </w:pPr>
          </w:p>
        </w:tc>
        <w:tc>
          <w:tcPr>
            <w:tcW w:w="6828" w:type="dxa"/>
            <w:tcBorders>
              <w:top w:val="single" w:color="auto" w:sz="4" w:space="0"/>
              <w:left w:val="single" w:color="auto" w:sz="4" w:space="0"/>
              <w:bottom w:val="single" w:color="auto" w:sz="4" w:space="0"/>
              <w:right w:val="single" w:color="auto" w:sz="4" w:space="0"/>
            </w:tcBorders>
          </w:tcPr>
          <w:p>
            <w:pPr>
              <w:pStyle w:val="16"/>
              <w:wordWrap w:val="0"/>
              <w:spacing w:line="360" w:lineRule="auto"/>
              <w:ind w:firstLine="480" w:firstLineChars="200"/>
              <w:jc w:val="left"/>
              <w:rPr>
                <w:ins w:id="20" w:author="FYD" w:date="2023-05-25T16:18:37Z"/>
                <w:rFonts w:hint="eastAsia" w:hAnsi="宋体" w:cs="宋体"/>
                <w:color w:val="auto"/>
                <w:kern w:val="2"/>
                <w:sz w:val="24"/>
                <w:szCs w:val="24"/>
              </w:rPr>
            </w:pPr>
          </w:p>
        </w:tc>
      </w:tr>
    </w:tbl>
    <w:p>
      <w:pPr>
        <w:pStyle w:val="2"/>
        <w:pageBreakBefore/>
        <w:widowControl/>
        <w:wordWrap w:val="0"/>
        <w:spacing w:before="0" w:after="0" w:line="360" w:lineRule="auto"/>
        <w:rPr>
          <w:rFonts w:ascii="宋体" w:hAnsi="宋体"/>
          <w:color w:val="auto"/>
          <w:sz w:val="28"/>
          <w:szCs w:val="28"/>
        </w:rPr>
      </w:pPr>
      <w:r>
        <w:rPr>
          <w:rFonts w:hint="eastAsia" w:ascii="宋体" w:hAnsi="宋体"/>
          <w:color w:val="auto"/>
          <w:sz w:val="28"/>
          <w:szCs w:val="28"/>
        </w:rPr>
        <w:t>报价人须知前附表3：磋商规则、评审标准</w:t>
      </w:r>
      <w:bookmarkEnd w:id="48"/>
      <w:bookmarkEnd w:id="49"/>
      <w:bookmarkEnd w:id="50"/>
      <w:bookmarkEnd w:id="51"/>
      <w:bookmarkEnd w:id="52"/>
      <w:bookmarkEnd w:id="53"/>
      <w:bookmarkEnd w:id="54"/>
      <w:bookmarkEnd w:id="55"/>
      <w:bookmarkEnd w:id="56"/>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wordWrap w:val="0"/>
              <w:spacing w:line="360" w:lineRule="auto"/>
              <w:ind w:right="-120" w:rightChars="-57"/>
              <w:rPr>
                <w:rFonts w:ascii="宋体" w:hAnsi="宋体"/>
                <w:b/>
                <w:bCs/>
                <w:color w:val="auto"/>
                <w:sz w:val="24"/>
                <w:szCs w:val="24"/>
              </w:rPr>
            </w:pPr>
            <w:bookmarkStart w:id="57" w:name="_Toc67603059"/>
            <w:bookmarkStart w:id="58" w:name="_Toc78368510"/>
            <w:r>
              <w:rPr>
                <w:rFonts w:hint="eastAsia" w:ascii="宋体" w:hAnsi="宋体"/>
                <w:b/>
                <w:bCs/>
                <w:color w:val="auto"/>
                <w:sz w:val="24"/>
                <w:szCs w:val="24"/>
              </w:rPr>
              <w:t>一、磋商规则</w:t>
            </w:r>
            <w:bookmarkEnd w:id="57"/>
            <w:bookmarkEnd w:id="58"/>
            <w:r>
              <w:rPr>
                <w:rFonts w:hint="eastAsia" w:ascii="宋体" w:hAnsi="宋体"/>
                <w:b/>
                <w:bCs/>
                <w:color w:val="auto"/>
                <w:sz w:val="24"/>
                <w:szCs w:val="24"/>
              </w:rPr>
              <w:t>：</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1.采购代理机构按有关规定编制采购文件，组建磋商小组。报价人按照采购文件规定提交报价文件。</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 xml:space="preserve">2.磋商小组审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3.磋商小组所有成员应当集中与单一报价人分别进行磋商，磋商顺序采用随机抽取的方法确认。</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4.磋商小组对采购文件和报价文件提出重点的磋商内容，根据采购文件及有关规定，磋商小组与进入磋商程序的报价人进行一轮或多轮磋商。</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5.每轮磋商结束前由磋商小组决定是否需要进行下一轮磋商，如需要进行下一轮磋商，采购代理机构提前告知报价人下一轮磋商时间。</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6.在磋商过程中，磋商小组可以根据采购文件明确规定的可能实质性变动内容变动采购文件；有实质性变动的，磋商小组应当以书面形式通知所有参加磋商的报价人。</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8.报价人递交的报价文件澄清、更正等文件、最终报价应予密封并交至采购代理机构指定人员，报价部分单独密封。采购代理机构工作人员在收齐全部报价人材料后，统一送达磋商小组。</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9.经磋商确定最终采购需求和提交最后报价的报价人后，由磋商小组采用综合评分法对提交最后报价的报价人的报价文件和最后报价进行综合评分。</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10.参加磋商并代表报价人签署报价文件的应该是采购文件要求的报价人代表，磋商时应出示身份证原件。</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11.在磋商活动中，有关人员不得透露与磋商有关的一切技术资料、价格和其它信息给其他报价人。</w:t>
            </w:r>
          </w:p>
          <w:p>
            <w:pPr>
              <w:wordWrap w:val="0"/>
              <w:spacing w:line="360" w:lineRule="auto"/>
              <w:ind w:right="-120" w:rightChars="-57"/>
              <w:rPr>
                <w:rFonts w:ascii="宋体" w:hAnsi="宋体"/>
                <w:color w:val="auto"/>
                <w:sz w:val="24"/>
                <w:szCs w:val="24"/>
              </w:rPr>
            </w:pPr>
            <w:r>
              <w:rPr>
                <w:rFonts w:hint="eastAsia" w:ascii="宋体" w:hAnsi="宋体"/>
                <w:b/>
                <w:color w:val="auto"/>
                <w:sz w:val="24"/>
                <w:szCs w:val="24"/>
              </w:rPr>
              <w:t>确定候选供应商原则</w:t>
            </w:r>
            <w:r>
              <w:rPr>
                <w:rFonts w:hint="eastAsia" w:ascii="宋体" w:hAnsi="宋体"/>
                <w:color w:val="auto"/>
                <w:sz w:val="24"/>
                <w:szCs w:val="24"/>
              </w:rPr>
              <w:t>：</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A.</w:t>
            </w:r>
            <w:r>
              <w:rPr>
                <w:rFonts w:ascii="宋体" w:hAnsi="宋体"/>
                <w:color w:val="auto"/>
                <w:sz w:val="24"/>
                <w:szCs w:val="24"/>
              </w:rPr>
              <w:t>磋商小组采用综合评分的方法确定成交候选</w:t>
            </w:r>
            <w:r>
              <w:rPr>
                <w:rFonts w:hint="eastAsia" w:ascii="宋体" w:hAnsi="宋体"/>
                <w:color w:val="auto"/>
                <w:sz w:val="24"/>
                <w:szCs w:val="24"/>
              </w:rPr>
              <w:t>供应商</w:t>
            </w:r>
            <w:r>
              <w:rPr>
                <w:rFonts w:ascii="宋体" w:hAnsi="宋体"/>
                <w:color w:val="auto"/>
                <w:sz w:val="24"/>
                <w:szCs w:val="24"/>
              </w:rPr>
              <w:t>，磋商小组按照：综合得分相同的，按照最后报价由低到高的顺序推荐</w:t>
            </w:r>
            <w:r>
              <w:rPr>
                <w:rFonts w:hint="eastAsia" w:ascii="宋体" w:hAnsi="宋体"/>
                <w:color w:val="auto"/>
                <w:sz w:val="24"/>
                <w:szCs w:val="24"/>
              </w:rPr>
              <w:t>；</w:t>
            </w:r>
            <w:r>
              <w:rPr>
                <w:rFonts w:ascii="宋体" w:hAnsi="宋体"/>
                <w:color w:val="auto"/>
                <w:sz w:val="24"/>
                <w:szCs w:val="24"/>
              </w:rPr>
              <w:t>综合得分且最后报价相同的，按照技术评分得分</w:t>
            </w:r>
            <w:r>
              <w:rPr>
                <w:rFonts w:hint="eastAsia" w:ascii="宋体" w:hAnsi="宋体"/>
                <w:color w:val="auto"/>
                <w:sz w:val="24"/>
                <w:szCs w:val="24"/>
              </w:rPr>
              <w:t>高低的</w:t>
            </w:r>
            <w:r>
              <w:rPr>
                <w:rFonts w:ascii="宋体" w:hAnsi="宋体"/>
                <w:color w:val="auto"/>
                <w:sz w:val="24"/>
                <w:szCs w:val="24"/>
              </w:rPr>
              <w:t>顺序推荐</w:t>
            </w:r>
            <w:r>
              <w:rPr>
                <w:rFonts w:hint="eastAsia" w:ascii="宋体" w:hAnsi="宋体"/>
                <w:color w:val="auto"/>
                <w:sz w:val="24"/>
                <w:szCs w:val="24"/>
              </w:rPr>
              <w:t>。</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B. 成交候选供应商的数量≥</w:t>
            </w:r>
            <w:r>
              <w:rPr>
                <w:rFonts w:ascii="宋体" w:hAnsi="宋体"/>
                <w:color w:val="auto"/>
                <w:sz w:val="24"/>
                <w:szCs w:val="24"/>
              </w:rPr>
              <w:t>3</w:t>
            </w:r>
            <w:r>
              <w:rPr>
                <w:rFonts w:hint="eastAsia" w:ascii="宋体" w:hAnsi="宋体"/>
                <w:color w:val="auto"/>
                <w:sz w:val="24"/>
                <w:szCs w:val="24"/>
              </w:rPr>
              <w:t>个；</w:t>
            </w:r>
          </w:p>
          <w:p>
            <w:pPr>
              <w:wordWrap w:val="0"/>
              <w:spacing w:line="360" w:lineRule="auto"/>
              <w:ind w:left="55" w:leftChars="26" w:right="-120" w:rightChars="-57" w:firstLine="480" w:firstLineChars="200"/>
              <w:rPr>
                <w:rFonts w:ascii="宋体" w:hAnsi="宋体"/>
                <w:color w:val="auto"/>
                <w:sz w:val="24"/>
                <w:szCs w:val="24"/>
              </w:rPr>
            </w:pPr>
            <w:r>
              <w:rPr>
                <w:rFonts w:hint="eastAsia" w:ascii="宋体" w:hAnsi="宋体"/>
                <w:color w:val="auto"/>
                <w:sz w:val="24"/>
                <w:szCs w:val="24"/>
              </w:rPr>
              <w:t xml:space="preserve">C．（□是/ </w:t>
            </w:r>
            <w:r>
              <w:rPr>
                <w:rFonts w:ascii="宋体" w:hAnsi="宋体"/>
                <w:color w:val="auto"/>
                <w:sz w:val="24"/>
                <w:szCs w:val="24"/>
              </w:rPr>
              <w:fldChar w:fldCharType="begin"/>
            </w:r>
            <w:r>
              <w:rPr>
                <w:rFonts w:hint="eastAsia" w:ascii="宋体" w:hAnsi="宋体"/>
                <w:color w:val="auto"/>
                <w:sz w:val="24"/>
                <w:szCs w:val="24"/>
              </w:rPr>
              <w:instrText xml:space="preserve">eq \o\ac(□,√)</w:instrText>
            </w:r>
            <w:r>
              <w:rPr>
                <w:rFonts w:ascii="宋体" w:hAnsi="宋体"/>
                <w:color w:val="auto"/>
                <w:sz w:val="24"/>
                <w:szCs w:val="24"/>
              </w:rPr>
              <w:fldChar w:fldCharType="end"/>
            </w:r>
            <w:r>
              <w:rPr>
                <w:rFonts w:hint="eastAsia" w:ascii="宋体" w:hAnsi="宋体"/>
                <w:color w:val="auto"/>
                <w:sz w:val="24"/>
                <w:szCs w:val="24"/>
              </w:rPr>
              <w:t>否）属于市场竞争不充分的科研项目以及需要扶持的科技成果转化项目，成交候选供应商可以为2家。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wordWrap w:val="0"/>
              <w:spacing w:line="360" w:lineRule="auto"/>
              <w:ind w:right="-120" w:rightChars="-57"/>
              <w:rPr>
                <w:rFonts w:ascii="宋体" w:hAnsi="宋体"/>
                <w:b/>
                <w:bCs/>
                <w:color w:val="auto"/>
                <w:sz w:val="24"/>
                <w:szCs w:val="24"/>
              </w:rPr>
            </w:pPr>
            <w:bookmarkStart w:id="59" w:name="_Toc67603060"/>
            <w:bookmarkStart w:id="60" w:name="_Toc4718"/>
            <w:bookmarkStart w:id="61" w:name="_Toc78368511"/>
            <w:r>
              <w:rPr>
                <w:rFonts w:hint="eastAsia" w:ascii="宋体" w:hAnsi="宋体"/>
                <w:b/>
                <w:bCs/>
                <w:color w:val="auto"/>
                <w:sz w:val="24"/>
                <w:szCs w:val="24"/>
              </w:rPr>
              <w:t>二、磋商可能实质性变动的内容：</w:t>
            </w:r>
            <w:bookmarkEnd w:id="59"/>
            <w:bookmarkEnd w:id="60"/>
            <w:bookmarkEnd w:id="61"/>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1.采购需求技术内容：</w:t>
            </w:r>
            <w:r>
              <w:rPr>
                <w:rFonts w:hint="eastAsia" w:ascii="宋体" w:hAnsi="宋体"/>
                <w:color w:val="auto"/>
                <w:sz w:val="24"/>
                <w:szCs w:val="24"/>
                <w:u w:val="single"/>
              </w:rPr>
              <w:t>无</w:t>
            </w:r>
          </w:p>
          <w:p>
            <w:pPr>
              <w:tabs>
                <w:tab w:val="left" w:pos="-5801"/>
              </w:tabs>
              <w:wordWrap w:val="0"/>
              <w:spacing w:line="360" w:lineRule="auto"/>
              <w:ind w:firstLine="480" w:firstLineChars="200"/>
              <w:rPr>
                <w:rFonts w:ascii="宋体" w:hAnsi="宋体"/>
                <w:color w:val="auto"/>
                <w:sz w:val="24"/>
                <w:szCs w:val="24"/>
              </w:rPr>
            </w:pPr>
            <w:r>
              <w:rPr>
                <w:rFonts w:hint="eastAsia" w:ascii="宋体" w:hAnsi="宋体"/>
                <w:color w:val="auto"/>
                <w:sz w:val="24"/>
                <w:szCs w:val="24"/>
              </w:rPr>
              <w:t>2.采购需求货物内容：</w:t>
            </w:r>
            <w:r>
              <w:rPr>
                <w:rFonts w:hint="eastAsia" w:ascii="宋体" w:hAnsi="宋体"/>
                <w:color w:val="auto"/>
                <w:sz w:val="24"/>
                <w:szCs w:val="24"/>
                <w:u w:val="single"/>
              </w:rPr>
              <w:t>无</w:t>
            </w:r>
          </w:p>
          <w:p>
            <w:pPr>
              <w:tabs>
                <w:tab w:val="left" w:pos="-5801"/>
              </w:tabs>
              <w:wordWrap w:val="0"/>
              <w:spacing w:line="360" w:lineRule="auto"/>
              <w:ind w:firstLine="480" w:firstLineChars="200"/>
              <w:rPr>
                <w:rFonts w:ascii="宋体" w:hAnsi="宋体"/>
                <w:b/>
                <w:bCs/>
                <w:color w:val="auto"/>
                <w:sz w:val="24"/>
                <w:szCs w:val="24"/>
              </w:rPr>
            </w:pPr>
            <w:r>
              <w:rPr>
                <w:rFonts w:hint="eastAsia" w:ascii="宋体" w:hAnsi="宋体"/>
                <w:color w:val="auto"/>
                <w:sz w:val="24"/>
                <w:szCs w:val="24"/>
              </w:rPr>
              <w:t>3.合同草案条款：</w:t>
            </w:r>
            <w:r>
              <w:rPr>
                <w:rFonts w:hint="eastAsia" w:ascii="宋体" w:hAnsi="宋体"/>
                <w:color w:val="auto"/>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28" w:type="dxa"/>
          </w:tcPr>
          <w:p>
            <w:pPr>
              <w:wordWrap w:val="0"/>
              <w:spacing w:line="360" w:lineRule="auto"/>
              <w:ind w:right="-120" w:rightChars="-57"/>
              <w:rPr>
                <w:rFonts w:ascii="宋体" w:hAnsi="宋体"/>
                <w:color w:val="auto"/>
                <w:sz w:val="24"/>
                <w:szCs w:val="24"/>
              </w:rPr>
            </w:pPr>
            <w:bookmarkStart w:id="62" w:name="_Toc12435"/>
            <w:bookmarkStart w:id="63" w:name="_Toc67603061"/>
            <w:bookmarkStart w:id="64" w:name="_Toc78368512"/>
            <w:r>
              <w:rPr>
                <w:rFonts w:hint="eastAsia" w:ascii="宋体" w:hAnsi="宋体"/>
                <w:b/>
                <w:bCs/>
                <w:color w:val="auto"/>
                <w:sz w:val="24"/>
                <w:szCs w:val="24"/>
              </w:rPr>
              <w:t>三、磋商评审标准：具体见“附件：综合评分法”</w:t>
            </w:r>
            <w:bookmarkEnd w:id="62"/>
            <w:bookmarkEnd w:id="63"/>
            <w:bookmarkEnd w:id="64"/>
            <w:r>
              <w:rPr>
                <w:rFonts w:hint="eastAsia" w:ascii="宋体" w:hAnsi="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tabs>
                <w:tab w:val="left" w:pos="1080"/>
              </w:tabs>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1、磋商结束后，采购代理机构在二个工作日内将评审报告送采购人。</w:t>
            </w:r>
          </w:p>
          <w:p>
            <w:pPr>
              <w:wordWrap w:val="0"/>
              <w:spacing w:line="360" w:lineRule="auto"/>
              <w:ind w:firstLine="480" w:firstLineChars="200"/>
              <w:rPr>
                <w:rFonts w:ascii="宋体" w:hAnsi="宋体"/>
                <w:bCs/>
                <w:color w:val="auto"/>
                <w:sz w:val="24"/>
                <w:szCs w:val="24"/>
              </w:rPr>
            </w:pPr>
            <w:r>
              <w:rPr>
                <w:rFonts w:hint="eastAsia" w:ascii="宋体" w:hAnsi="宋体"/>
                <w:bCs/>
                <w:color w:val="auto"/>
                <w:sz w:val="24"/>
                <w:szCs w:val="24"/>
              </w:rPr>
              <w:t>2、采购人在收到评审报告后五个工作日内，根据成交候选供应商排列顺序确定第一名成交候选供应商为成交供应商</w:t>
            </w:r>
            <w:r>
              <w:rPr>
                <w:rFonts w:ascii="宋体" w:hAnsi="宋体"/>
                <w:bCs/>
                <w:color w:val="auto"/>
                <w:sz w:val="24"/>
                <w:szCs w:val="24"/>
              </w:rPr>
              <w:t>。</w:t>
            </w:r>
          </w:p>
          <w:p>
            <w:pPr>
              <w:wordWrap w:val="0"/>
              <w:spacing w:line="360" w:lineRule="auto"/>
              <w:ind w:firstLine="480" w:firstLineChars="200"/>
              <w:rPr>
                <w:rFonts w:ascii="宋体" w:hAnsi="宋体"/>
                <w:bCs/>
                <w:color w:val="auto"/>
                <w:sz w:val="24"/>
                <w:szCs w:val="24"/>
              </w:rPr>
            </w:pPr>
            <w:r>
              <w:rPr>
                <w:rFonts w:hint="eastAsia" w:ascii="宋体" w:hAnsi="宋体"/>
                <w:bCs/>
                <w:color w:val="auto"/>
                <w:sz w:val="24"/>
                <w:szCs w:val="24"/>
              </w:rPr>
              <w:t>3、</w:t>
            </w:r>
            <w:r>
              <w:rPr>
                <w:rFonts w:hint="eastAsia" w:ascii="宋体" w:hAnsi="宋体"/>
                <w:color w:val="auto"/>
                <w:sz w:val="24"/>
                <w:szCs w:val="24"/>
              </w:rPr>
              <w:t>采购代理机构在成交供应商确定的二个工作日内，在指定相关媒体上公告成交结果及磋商文件，并发出成交通知书。</w:t>
            </w:r>
          </w:p>
          <w:p>
            <w:pPr>
              <w:wordWrap w:val="0"/>
              <w:spacing w:line="360" w:lineRule="auto"/>
              <w:ind w:right="-40" w:rightChars="-19" w:firstLine="480" w:firstLineChars="200"/>
              <w:rPr>
                <w:rFonts w:ascii="宋体" w:hAnsi="宋体"/>
                <w:color w:val="auto"/>
                <w:sz w:val="24"/>
                <w:szCs w:val="24"/>
              </w:rPr>
            </w:pPr>
            <w:r>
              <w:rPr>
                <w:rFonts w:hint="eastAsia" w:ascii="宋体" w:hAnsi="宋体"/>
                <w:bCs/>
                <w:color w:val="auto"/>
                <w:sz w:val="24"/>
                <w:szCs w:val="24"/>
              </w:rPr>
              <w:t>4、</w:t>
            </w:r>
            <w:r>
              <w:rPr>
                <w:rFonts w:ascii="宋体" w:hAnsi="宋体"/>
                <w:bCs/>
                <w:color w:val="auto"/>
                <w:sz w:val="24"/>
                <w:szCs w:val="24"/>
              </w:rPr>
              <w:t>成交供应商</w:t>
            </w:r>
            <w:r>
              <w:rPr>
                <w:rFonts w:hint="eastAsia" w:ascii="宋体" w:hAnsi="宋体"/>
                <w:bCs/>
                <w:color w:val="auto"/>
                <w:sz w:val="24"/>
                <w:szCs w:val="24"/>
              </w:rPr>
              <w:t>拒绝签订采购合同的，采购人可以按照成交候选供应商的排序顺序由高到低</w:t>
            </w:r>
            <w:r>
              <w:rPr>
                <w:rFonts w:hint="eastAsia" w:ascii="宋体" w:hAnsi="宋体"/>
                <w:color w:val="auto"/>
                <w:sz w:val="24"/>
                <w:szCs w:val="24"/>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pPr>
        <w:pStyle w:val="2"/>
        <w:pageBreakBefore/>
        <w:widowControl/>
        <w:wordWrap w:val="0"/>
        <w:spacing w:before="0" w:after="0" w:line="360" w:lineRule="auto"/>
        <w:rPr>
          <w:rFonts w:ascii="宋体" w:hAnsi="宋体"/>
          <w:color w:val="auto"/>
          <w:sz w:val="28"/>
          <w:szCs w:val="28"/>
        </w:rPr>
      </w:pPr>
      <w:bookmarkStart w:id="65" w:name="_Toc78368508"/>
      <w:bookmarkStart w:id="66" w:name="_Toc29466"/>
      <w:bookmarkStart w:id="67" w:name="_Toc89094460"/>
      <w:bookmarkStart w:id="68" w:name="_Toc30163"/>
      <w:bookmarkStart w:id="69" w:name="_Toc9613"/>
      <w:bookmarkStart w:id="70" w:name="_Toc2696"/>
      <w:bookmarkStart w:id="71" w:name="_Toc13325"/>
      <w:bookmarkStart w:id="72" w:name="_Toc17644"/>
      <w:bookmarkStart w:id="73" w:name="_Toc11463"/>
      <w:bookmarkStart w:id="74" w:name="_Toc19240"/>
      <w:r>
        <w:rPr>
          <w:rFonts w:hint="eastAsia" w:ascii="宋体" w:hAnsi="宋体"/>
          <w:color w:val="auto"/>
          <w:sz w:val="28"/>
          <w:szCs w:val="28"/>
        </w:rPr>
        <w:t>带“</w:t>
      </w:r>
      <w:bookmarkStart w:id="75" w:name="_Hlk131752402"/>
      <w:r>
        <w:rPr>
          <w:rFonts w:hint="eastAsia" w:ascii="宋体" w:hAnsi="宋体"/>
          <w:color w:val="auto"/>
          <w:szCs w:val="24"/>
        </w:rPr>
        <w:t>★</w:t>
      </w:r>
      <w:bookmarkEnd w:id="75"/>
      <w:r>
        <w:rPr>
          <w:rFonts w:hint="eastAsia" w:ascii="宋体" w:hAnsi="宋体"/>
          <w:color w:val="auto"/>
          <w:sz w:val="28"/>
          <w:szCs w:val="28"/>
        </w:rPr>
        <w:t>”条款汇总表</w:t>
      </w:r>
      <w:bookmarkEnd w:id="65"/>
      <w:bookmarkEnd w:id="66"/>
      <w:bookmarkEnd w:id="67"/>
      <w:bookmarkEnd w:id="68"/>
      <w:bookmarkEnd w:id="69"/>
      <w:bookmarkEnd w:id="70"/>
      <w:bookmarkEnd w:id="71"/>
      <w:bookmarkEnd w:id="72"/>
      <w:bookmarkEnd w:id="73"/>
      <w:bookmarkEnd w:id="7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编号</w:t>
            </w:r>
          </w:p>
        </w:tc>
        <w:tc>
          <w:tcPr>
            <w:tcW w:w="80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6"/>
              <w:wordWrap w:val="0"/>
              <w:spacing w:line="360" w:lineRule="auto"/>
              <w:jc w:val="center"/>
              <w:rPr>
                <w:rFonts w:hAnsi="宋体" w:cs="宋体"/>
                <w:b/>
                <w:bCs/>
                <w:color w:val="auto"/>
                <w:kern w:val="2"/>
                <w:sz w:val="24"/>
                <w:szCs w:val="24"/>
              </w:rPr>
            </w:pPr>
            <w:r>
              <w:rPr>
                <w:rFonts w:hint="eastAsia" w:hAnsi="宋体" w:cs="宋体"/>
                <w:b/>
                <w:bCs/>
                <w:color w:val="auto"/>
                <w:kern w:val="2"/>
                <w:sz w:val="24"/>
                <w:szCs w:val="24"/>
              </w:rPr>
              <w:t>1</w:t>
            </w:r>
          </w:p>
        </w:tc>
        <w:tc>
          <w:tcPr>
            <w:tcW w:w="8048"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wordWrap w:val="0"/>
              <w:spacing w:line="360" w:lineRule="auto"/>
              <w:rPr>
                <w:rFonts w:ascii="宋体" w:hAnsi="宋体"/>
                <w:b w:val="0"/>
                <w:bCs w:val="0"/>
                <w:color w:val="auto"/>
              </w:rPr>
            </w:pPr>
            <w:r>
              <w:rPr>
                <w:rFonts w:hint="eastAsia" w:ascii="宋体" w:hAnsi="宋体" w:cs="宋体"/>
                <w:b w:val="0"/>
                <w:bCs w:val="0"/>
                <w:color w:val="auto"/>
              </w:rPr>
              <w:t>★</w:t>
            </w:r>
            <w:r>
              <w:rPr>
                <w:rFonts w:ascii="宋体" w:hAnsi="宋体" w:cs="宋体"/>
                <w:b w:val="0"/>
                <w:bCs w:val="0"/>
                <w:color w:val="auto"/>
              </w:rPr>
              <w:t xml:space="preserve">5.5 </w:t>
            </w:r>
            <w:r>
              <w:rPr>
                <w:rFonts w:hint="eastAsia" w:ascii="宋体" w:hAnsi="宋体" w:cs="宋体"/>
                <w:b w:val="0"/>
                <w:bCs w:val="0"/>
                <w:color w:val="auto"/>
              </w:rPr>
              <w:t>本次采购为费用包干制，总报价应包括：应发工资（含基本工资、加班工资、岗位、职位、绩效考核、防暑降温费、年终考核）、社保缴费（单位部分）、公积金（单位部分）、工会费、商业保险、管理费、税金、招标代理服务费等为服务本项目可能发生的一切费用。供应商一旦成交，采购人将不会对其报价做出其他补偿。</w:t>
            </w:r>
            <w:r>
              <w:rPr>
                <w:rFonts w:hint="eastAsia" w:ascii="宋体" w:hAnsi="宋体" w:cs="宋体"/>
                <w:b w:val="0"/>
                <w:bCs w:val="0"/>
                <w:color w:val="auto"/>
                <w:lang w:val="en-US" w:eastAsia="zh-CN"/>
              </w:rPr>
              <w:t>供应商应提供书面承诺函并加盖公章。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16"/>
              <w:wordWrap w:val="0"/>
              <w:spacing w:line="360" w:lineRule="auto"/>
              <w:jc w:val="center"/>
              <w:rPr>
                <w:rFonts w:hAnsi="宋体" w:cs="宋体"/>
                <w:b/>
                <w:bCs/>
                <w:color w:val="auto"/>
                <w:kern w:val="2"/>
                <w:sz w:val="24"/>
                <w:szCs w:val="24"/>
              </w:rPr>
            </w:pPr>
            <w:r>
              <w:rPr>
                <w:rFonts w:hint="eastAsia" w:hAnsi="宋体" w:cs="宋体"/>
                <w:b/>
                <w:bCs/>
                <w:color w:val="auto"/>
                <w:kern w:val="2"/>
                <w:sz w:val="24"/>
                <w:szCs w:val="24"/>
              </w:rPr>
              <w:t>2</w:t>
            </w:r>
          </w:p>
        </w:tc>
        <w:tc>
          <w:tcPr>
            <w:tcW w:w="8048"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wordWrap w:val="0"/>
              <w:spacing w:line="360" w:lineRule="auto"/>
              <w:rPr>
                <w:rFonts w:ascii="宋体" w:hAnsi="宋体"/>
                <w:b w:val="0"/>
                <w:bCs w:val="0"/>
                <w:color w:val="auto"/>
              </w:rPr>
            </w:pPr>
            <w:r>
              <w:rPr>
                <w:rFonts w:hint="eastAsia" w:ascii="宋体" w:hAnsi="宋体" w:cs="宋体"/>
                <w:color w:val="auto"/>
              </w:rPr>
              <w:t>★</w:t>
            </w:r>
            <w:r>
              <w:rPr>
                <w:rFonts w:ascii="宋体" w:hAnsi="宋体" w:cs="宋体"/>
                <w:b w:val="0"/>
                <w:bCs w:val="0"/>
                <w:color w:val="auto"/>
              </w:rPr>
              <w:t xml:space="preserve">5.6 </w:t>
            </w:r>
            <w:r>
              <w:rPr>
                <w:rStyle w:val="87"/>
                <w:rFonts w:ascii="宋体" w:hAnsi="宋体"/>
                <w:b w:val="0"/>
                <w:color w:val="auto"/>
              </w:rPr>
              <w:t>本次采购最高限价为</w:t>
            </w:r>
            <w:r>
              <w:rPr>
                <w:rStyle w:val="87"/>
                <w:rFonts w:hint="eastAsia" w:ascii="宋体" w:hAnsi="宋体"/>
                <w:b w:val="0"/>
                <w:color w:val="auto"/>
              </w:rPr>
              <w:t>550</w:t>
            </w:r>
            <w:r>
              <w:rPr>
                <w:rStyle w:val="87"/>
                <w:rFonts w:hint="eastAsia" w:ascii="宋体" w:hAnsi="宋体"/>
                <w:b w:val="0"/>
                <w:color w:val="auto"/>
                <w:lang w:val="en-US" w:eastAsia="zh-CN"/>
              </w:rPr>
              <w:t>,</w:t>
            </w:r>
            <w:r>
              <w:rPr>
                <w:rStyle w:val="87"/>
                <w:rFonts w:hint="eastAsia" w:ascii="宋体" w:hAnsi="宋体"/>
                <w:b w:val="0"/>
                <w:color w:val="auto"/>
              </w:rPr>
              <w:t>000.00元</w:t>
            </w:r>
            <w:r>
              <w:rPr>
                <w:rStyle w:val="87"/>
                <w:rFonts w:ascii="宋体" w:hAnsi="宋体"/>
                <w:b w:val="0"/>
                <w:color w:val="auto"/>
              </w:rPr>
              <w:t>，</w:t>
            </w:r>
            <w:r>
              <w:rPr>
                <w:rStyle w:val="87"/>
                <w:rFonts w:hint="eastAsia" w:ascii="宋体" w:hAnsi="宋体"/>
                <w:b w:val="0"/>
                <w:color w:val="auto"/>
              </w:rPr>
              <w:t>服务期限为两年，</w:t>
            </w:r>
            <w:r>
              <w:rPr>
                <w:rStyle w:val="87"/>
                <w:rFonts w:ascii="宋体" w:hAnsi="宋体"/>
                <w:b w:val="0"/>
                <w:color w:val="auto"/>
              </w:rPr>
              <w:t>供应商</w:t>
            </w:r>
            <w:r>
              <w:rPr>
                <w:rStyle w:val="87"/>
                <w:rFonts w:hint="eastAsia" w:ascii="宋体" w:hAnsi="宋体"/>
                <w:b w:val="0"/>
                <w:color w:val="auto"/>
                <w:lang w:val="en-US" w:eastAsia="zh-CN"/>
              </w:rPr>
              <w:t>任意一次的</w:t>
            </w:r>
            <w:r>
              <w:rPr>
                <w:rStyle w:val="87"/>
                <w:rFonts w:ascii="宋体" w:hAnsi="宋体"/>
                <w:b w:val="0"/>
                <w:color w:val="auto"/>
              </w:rPr>
              <w:t>报价不得超过此最高限价，否则作无效报价处理。</w:t>
            </w:r>
          </w:p>
        </w:tc>
      </w:tr>
    </w:tbl>
    <w:p>
      <w:pPr>
        <w:pStyle w:val="2"/>
        <w:pageBreakBefore/>
        <w:wordWrap w:val="0"/>
        <w:spacing w:before="0" w:after="0" w:line="360" w:lineRule="auto"/>
        <w:jc w:val="both"/>
        <w:rPr>
          <w:rFonts w:ascii="宋体" w:hAnsi="宋体"/>
          <w:color w:val="auto"/>
          <w:sz w:val="28"/>
          <w:szCs w:val="28"/>
        </w:rPr>
      </w:pPr>
      <w:bookmarkStart w:id="76" w:name="_Toc17662"/>
      <w:r>
        <w:rPr>
          <w:rFonts w:hint="eastAsia" w:ascii="宋体" w:hAnsi="宋体"/>
          <w:color w:val="auto"/>
          <w:sz w:val="28"/>
          <w:szCs w:val="28"/>
        </w:rPr>
        <w:t>附件：综合评分法</w:t>
      </w:r>
      <w:bookmarkEnd w:id="76"/>
    </w:p>
    <w:tbl>
      <w:tblPr>
        <w:tblStyle w:val="2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
        <w:gridCol w:w="7150"/>
        <w:gridCol w:w="7"/>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778" w:type="dxa"/>
            <w:tcBorders>
              <w:top w:val="single" w:color="auto" w:sz="4" w:space="0"/>
              <w:left w:val="single" w:color="auto" w:sz="4" w:space="0"/>
              <w:bottom w:val="single" w:color="auto" w:sz="4" w:space="0"/>
              <w:right w:val="single" w:color="auto" w:sz="4" w:space="0"/>
            </w:tcBorders>
          </w:tcPr>
          <w:p>
            <w:pPr>
              <w:tabs>
                <w:tab w:val="left" w:pos="900"/>
                <w:tab w:val="left" w:pos="1080"/>
              </w:tabs>
              <w:wordWrap w:val="0"/>
              <w:spacing w:line="360" w:lineRule="auto"/>
              <w:jc w:val="center"/>
              <w:rPr>
                <w:rFonts w:ascii="宋体" w:hAnsi="宋体"/>
                <w:b/>
                <w:bCs/>
                <w:color w:val="auto"/>
                <w:sz w:val="24"/>
                <w:szCs w:val="24"/>
              </w:rPr>
            </w:pPr>
            <w:bookmarkStart w:id="77" w:name="_Hlk120903766"/>
            <w:r>
              <w:rPr>
                <w:rFonts w:hint="eastAsia" w:ascii="宋体" w:hAnsi="宋体"/>
                <w:b/>
                <w:bCs/>
                <w:color w:val="auto"/>
                <w:sz w:val="24"/>
                <w:szCs w:val="24"/>
              </w:rPr>
              <w:t>序号</w:t>
            </w:r>
          </w:p>
        </w:tc>
        <w:tc>
          <w:tcPr>
            <w:tcW w:w="7159" w:type="dxa"/>
            <w:gridSpan w:val="2"/>
            <w:tcBorders>
              <w:top w:val="single" w:color="auto" w:sz="4" w:space="0"/>
              <w:left w:val="single" w:color="auto" w:sz="4" w:space="0"/>
              <w:bottom w:val="single" w:color="auto" w:sz="4" w:space="0"/>
              <w:right w:val="single" w:color="auto" w:sz="4" w:space="0"/>
            </w:tcBorders>
          </w:tcPr>
          <w:p>
            <w:pPr>
              <w:tabs>
                <w:tab w:val="left" w:pos="900"/>
                <w:tab w:val="left" w:pos="1080"/>
              </w:tabs>
              <w:wordWrap w:val="0"/>
              <w:spacing w:line="360" w:lineRule="auto"/>
              <w:ind w:firstLine="481" w:firstLineChars="200"/>
              <w:jc w:val="center"/>
              <w:rPr>
                <w:rFonts w:ascii="宋体" w:hAnsi="宋体"/>
                <w:b/>
                <w:bCs/>
                <w:color w:val="auto"/>
                <w:sz w:val="24"/>
                <w:szCs w:val="24"/>
              </w:rPr>
            </w:pPr>
            <w:r>
              <w:rPr>
                <w:rFonts w:hint="eastAsia" w:ascii="宋体" w:hAnsi="宋体"/>
                <w:b/>
                <w:bCs/>
                <w:color w:val="auto"/>
                <w:sz w:val="24"/>
                <w:szCs w:val="24"/>
              </w:rPr>
              <w:t>评分界定</w:t>
            </w:r>
          </w:p>
        </w:tc>
        <w:tc>
          <w:tcPr>
            <w:tcW w:w="855" w:type="dxa"/>
            <w:gridSpan w:val="2"/>
            <w:tcBorders>
              <w:top w:val="single" w:color="auto" w:sz="4" w:space="0"/>
              <w:left w:val="single" w:color="auto" w:sz="4" w:space="0"/>
              <w:bottom w:val="single" w:color="auto" w:sz="4" w:space="0"/>
              <w:right w:val="single" w:color="auto" w:sz="4" w:space="0"/>
            </w:tcBorders>
          </w:tcPr>
          <w:p>
            <w:pPr>
              <w:tabs>
                <w:tab w:val="left" w:pos="900"/>
                <w:tab w:val="left" w:pos="1080"/>
              </w:tabs>
              <w:wordWrap w:val="0"/>
              <w:spacing w:line="360" w:lineRule="auto"/>
              <w:jc w:val="center"/>
              <w:rPr>
                <w:rFonts w:ascii="宋体" w:hAnsi="宋体"/>
                <w:b/>
                <w:bCs/>
                <w:color w:val="auto"/>
                <w:sz w:val="24"/>
                <w:szCs w:val="24"/>
              </w:rPr>
            </w:pPr>
            <w:r>
              <w:rPr>
                <w:rFonts w:hint="eastAsia" w:ascii="宋体" w:hAnsi="宋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8792" w:type="dxa"/>
            <w:gridSpan w:val="5"/>
            <w:vAlign w:val="center"/>
          </w:tcPr>
          <w:p>
            <w:pPr>
              <w:wordWrap w:val="0"/>
              <w:spacing w:line="360" w:lineRule="auto"/>
              <w:jc w:val="center"/>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rPr>
              <w:t>技术因素（满分6</w:t>
            </w:r>
            <w:r>
              <w:rPr>
                <w:rFonts w:ascii="宋体" w:hAnsi="宋体"/>
                <w:b/>
                <w:color w:val="auto"/>
                <w:sz w:val="24"/>
                <w:szCs w:val="24"/>
              </w:rPr>
              <w:t>5</w:t>
            </w:r>
            <w:r>
              <w:rPr>
                <w:rFonts w:hint="eastAsia" w:ascii="宋体" w:hAnsi="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1-1</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根据各供应商对采购文件中采购内容的基本要求的响应情况</w:t>
            </w:r>
            <w:r>
              <w:rPr>
                <w:rFonts w:hint="eastAsia" w:ascii="宋体" w:hAnsi="宋体" w:cs="宋体"/>
                <w:b/>
                <w:bCs/>
                <w:color w:val="auto"/>
                <w:sz w:val="24"/>
                <w:szCs w:val="24"/>
              </w:rPr>
              <w:t>进行评分</w:t>
            </w:r>
            <w:r>
              <w:rPr>
                <w:rFonts w:hint="eastAsia" w:ascii="宋体" w:hAnsi="宋体" w:cs="宋体"/>
                <w:b/>
                <w:bCs/>
                <w:color w:val="auto"/>
                <w:kern w:val="0"/>
                <w:sz w:val="24"/>
                <w:szCs w:val="24"/>
                <w:lang w:bidi="ar"/>
              </w:rPr>
              <w:t>：（满分13分）</w:t>
            </w:r>
          </w:p>
          <w:p>
            <w:pPr>
              <w:widowControl/>
              <w:wordWrap w:val="0"/>
              <w:spacing w:line="360" w:lineRule="auto"/>
              <w:jc w:val="left"/>
              <w:rPr>
                <w:rFonts w:ascii="宋体" w:hAnsi="宋体"/>
                <w:color w:val="auto"/>
                <w:szCs w:val="24"/>
                <w:lang w:bidi="ar"/>
              </w:rPr>
            </w:pPr>
            <w:r>
              <w:rPr>
                <w:rFonts w:hint="eastAsia" w:ascii="宋体" w:hAnsi="宋体" w:cs="宋体"/>
                <w:color w:val="auto"/>
                <w:kern w:val="0"/>
                <w:sz w:val="24"/>
                <w:szCs w:val="24"/>
                <w:lang w:bidi="ar"/>
              </w:rPr>
              <w:t>供应商对采购文件</w:t>
            </w:r>
            <w:r>
              <w:rPr>
                <w:rFonts w:hint="eastAsia" w:ascii="宋体" w:hAnsi="宋体" w:cs="宋体"/>
                <w:b/>
                <w:bCs/>
                <w:color w:val="auto"/>
                <w:kern w:val="0"/>
                <w:sz w:val="24"/>
                <w:szCs w:val="24"/>
                <w:lang w:bidi="ar"/>
              </w:rPr>
              <w:t xml:space="preserve">“第三章 </w:t>
            </w:r>
            <w:ins w:id="21" w:author="FYD" w:date="2023-05-25T16:27:07Z">
              <w:r>
                <w:rPr>
                  <w:rFonts w:hint="eastAsia" w:ascii="宋体" w:hAnsi="宋体" w:cs="宋体"/>
                  <w:b/>
                  <w:bCs/>
                  <w:color w:val="auto"/>
                  <w:kern w:val="0"/>
                  <w:sz w:val="24"/>
                  <w:szCs w:val="24"/>
                  <w:lang w:val="en-US" w:eastAsia="zh-CN" w:bidi="ar"/>
                </w:rPr>
                <w:t>采购</w:t>
              </w:r>
            </w:ins>
            <w:r>
              <w:rPr>
                <w:rFonts w:hint="eastAsia" w:ascii="宋体" w:hAnsi="宋体" w:cs="宋体"/>
                <w:b/>
                <w:bCs/>
                <w:color w:val="auto"/>
                <w:kern w:val="0"/>
                <w:sz w:val="24"/>
                <w:szCs w:val="24"/>
                <w:lang w:bidi="ar"/>
              </w:rPr>
              <w:t>内容及要求”中“二、技术和服务要求”（共13项）</w:t>
            </w:r>
            <w:r>
              <w:rPr>
                <w:rFonts w:hint="eastAsia" w:ascii="宋体" w:hAnsi="宋体" w:cs="宋体"/>
                <w:color w:val="auto"/>
                <w:kern w:val="0"/>
                <w:sz w:val="24"/>
                <w:szCs w:val="24"/>
                <w:lang w:bidi="ar"/>
              </w:rPr>
              <w:t>逐项进行应答，如实说明偏离情况，并提供</w:t>
            </w:r>
            <w:r>
              <w:rPr>
                <w:rFonts w:hint="eastAsia" w:ascii="宋体" w:hAnsi="宋体" w:cs="宋体"/>
                <w:color w:val="auto"/>
                <w:kern w:val="0"/>
                <w:sz w:val="24"/>
                <w:szCs w:val="24"/>
                <w:u w:val="single"/>
                <w:lang w:bidi="ar"/>
              </w:rPr>
              <w:t>《技术和商务响应/偏离表》</w:t>
            </w:r>
            <w:r>
              <w:rPr>
                <w:rFonts w:hint="eastAsia" w:ascii="宋体" w:hAnsi="宋体" w:cs="宋体"/>
                <w:color w:val="auto"/>
                <w:kern w:val="0"/>
                <w:sz w:val="24"/>
                <w:szCs w:val="24"/>
                <w:lang w:bidi="ar"/>
              </w:rPr>
              <w:t>。全部满足要求得13分，任何一项不满足或未响应扣1分。</w:t>
            </w:r>
          </w:p>
        </w:tc>
        <w:tc>
          <w:tcPr>
            <w:tcW w:w="848" w:type="dxa"/>
            <w:vAlign w:val="center"/>
          </w:tcPr>
          <w:p>
            <w:pPr>
              <w:widowControl/>
              <w:wordWrap w:val="0"/>
              <w:spacing w:line="360" w:lineRule="auto"/>
              <w:jc w:val="center"/>
              <w:rPr>
                <w:rFonts w:ascii="宋体" w:hAnsi="宋体" w:cs="宋体"/>
                <w:color w:val="auto"/>
                <w:kern w:val="0"/>
                <w:sz w:val="24"/>
                <w:szCs w:val="24"/>
                <w:lang w:bidi="ar"/>
              </w:rPr>
            </w:pPr>
            <w:r>
              <w:rPr>
                <w:rFonts w:hint="eastAsia" w:ascii="宋体" w:hAnsi="宋体" w:cs="宋体"/>
                <w:color w:val="auto"/>
                <w:kern w:val="0"/>
                <w:sz w:val="24"/>
                <w:szCs w:val="24"/>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1-2</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根据供应商针对本项目协助处理行政诉讼的服务工作方案及工作部署进行评价：（满分3分）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b/>
                <w:bCs w:val="0"/>
                <w:color w:val="auto"/>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1-3</w:t>
            </w:r>
          </w:p>
        </w:tc>
        <w:tc>
          <w:tcPr>
            <w:tcW w:w="7157" w:type="dxa"/>
            <w:gridSpan w:val="2"/>
            <w:vAlign w:val="center"/>
          </w:tcPr>
          <w:p>
            <w:pPr>
              <w:widowControl/>
              <w:wordWrap w:val="0"/>
              <w:spacing w:line="360" w:lineRule="auto"/>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根据供应商针对本项目协助处理民事诉讼的服务工作方案及工作部署进行评价：（满分3分）</w:t>
            </w:r>
          </w:p>
          <w:p>
            <w:pPr>
              <w:widowControl/>
              <w:wordWrap w:val="0"/>
              <w:spacing w:line="360" w:lineRule="auto"/>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①内容覆盖上述内容的得1分；</w:t>
            </w:r>
          </w:p>
          <w:p>
            <w:pPr>
              <w:widowControl/>
              <w:wordWrap w:val="0"/>
              <w:spacing w:line="360" w:lineRule="auto"/>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b/>
                <w:bCs w:val="0"/>
                <w:color w:val="auto"/>
                <w:szCs w:val="24"/>
                <w:highlight w:val="none"/>
              </w:rPr>
            </w:pPr>
            <w:r>
              <w:rPr>
                <w:rFonts w:hint="eastAsia" w:ascii="宋体" w:hAnsi="宋体" w:cs="宋体"/>
                <w:color w:val="auto"/>
                <w:kern w:val="0"/>
                <w:sz w:val="24"/>
                <w:szCs w:val="24"/>
                <w:highlight w:val="none"/>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1-4</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根据供应商针对本项目协助处理行政复议的服务工作方案及工作部署进行评价：（满分3分）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b/>
                <w:bCs w:val="0"/>
                <w:color w:val="auto"/>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1-5</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根据供应商针对本项目协助处理信访纠纷的服务工作方案及工作部署进行评价：（满分3分）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b/>
                <w:bCs w:val="0"/>
                <w:color w:val="auto"/>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1-6</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根据供应商针对本项目协助处理重大行政执法案件的服务工作方案及工作部署进行评价：（满分3分）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b/>
                <w:bCs w:val="0"/>
                <w:color w:val="auto"/>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1-7</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根据供应商针对本项目协助处理立法及政策制定法律论证的服务工作方案及工作部署进行评价：（满分</w:t>
            </w:r>
            <w:r>
              <w:rPr>
                <w:rFonts w:hint="eastAsia" w:ascii="宋体" w:hAnsi="宋体" w:cs="宋体"/>
                <w:b/>
                <w:bCs/>
                <w:color w:val="auto"/>
                <w:kern w:val="0"/>
                <w:sz w:val="24"/>
                <w:szCs w:val="24"/>
                <w:lang w:val="en-US" w:eastAsia="zh-CN" w:bidi="ar"/>
              </w:rPr>
              <w:t>3</w:t>
            </w:r>
            <w:r>
              <w:rPr>
                <w:rFonts w:hint="eastAsia" w:ascii="宋体" w:hAnsi="宋体" w:cs="宋体"/>
                <w:b/>
                <w:bCs/>
                <w:color w:val="auto"/>
                <w:kern w:val="0"/>
                <w:sz w:val="24"/>
                <w:szCs w:val="24"/>
                <w:lang w:bidi="ar"/>
              </w:rPr>
              <w:t>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②在前项①的基础上，方案内容详实、思路清晰合理，流程完整，符合采购人业务项目情况的得2分；</w:t>
            </w:r>
          </w:p>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③有参与过政府立法正式项目的（应提供书面协议</w:t>
            </w:r>
            <w:r>
              <w:rPr>
                <w:rFonts w:hint="eastAsia" w:ascii="宋体" w:hAnsi="宋体" w:cs="宋体"/>
                <w:color w:val="auto"/>
                <w:kern w:val="0"/>
                <w:sz w:val="24"/>
                <w:szCs w:val="24"/>
                <w:lang w:val="en-US" w:eastAsia="zh-CN" w:bidi="ar"/>
              </w:rPr>
              <w:t>复印件</w:t>
            </w:r>
            <w:r>
              <w:rPr>
                <w:rFonts w:hint="eastAsia" w:ascii="宋体" w:hAnsi="宋体" w:cs="宋体"/>
                <w:color w:val="auto"/>
                <w:kern w:val="0"/>
                <w:sz w:val="24"/>
                <w:szCs w:val="24"/>
                <w:lang w:bidi="ar"/>
              </w:rPr>
              <w:t>），得</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w:t>
            </w:r>
          </w:p>
          <w:p>
            <w:pPr>
              <w:widowControl/>
              <w:wordWrap w:val="0"/>
              <w:spacing w:line="360" w:lineRule="auto"/>
              <w:jc w:val="left"/>
              <w:rPr>
                <w:rFonts w:ascii="宋体" w:hAnsi="宋体" w:cs="宋体"/>
                <w:b/>
                <w:bCs w:val="0"/>
                <w:color w:val="auto"/>
                <w:szCs w:val="24"/>
              </w:rPr>
            </w:pPr>
            <w:r>
              <w:rPr>
                <w:rFonts w:hint="eastAsia" w:ascii="宋体" w:hAnsi="宋体" w:cs="宋体"/>
                <w:color w:val="auto"/>
                <w:kern w:val="0"/>
                <w:sz w:val="24"/>
                <w:szCs w:val="24"/>
                <w:lang w:bidi="ar"/>
              </w:rPr>
              <w:t>④未提供或不符合上述要求的不得分。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1-8</w:t>
            </w:r>
          </w:p>
        </w:tc>
        <w:tc>
          <w:tcPr>
            <w:tcW w:w="7157" w:type="dxa"/>
            <w:gridSpan w:val="2"/>
            <w:vAlign w:val="center"/>
          </w:tcPr>
          <w:p>
            <w:pPr>
              <w:widowControl/>
              <w:wordWrap w:val="0"/>
              <w:spacing w:line="360" w:lineRule="auto"/>
              <w:jc w:val="left"/>
              <w:rPr>
                <w:rFonts w:ascii="宋体" w:hAnsi="宋体" w:cs="宋体"/>
                <w:color w:val="auto"/>
                <w:kern w:val="0"/>
                <w:sz w:val="24"/>
                <w:szCs w:val="24"/>
                <w:lang w:bidi="ar"/>
              </w:rPr>
            </w:pPr>
            <w:r>
              <w:rPr>
                <w:rFonts w:hint="eastAsia" w:ascii="宋体" w:hAnsi="宋体" w:cs="宋体"/>
                <w:b/>
                <w:bCs/>
                <w:color w:val="auto"/>
                <w:kern w:val="0"/>
                <w:sz w:val="24"/>
                <w:szCs w:val="24"/>
                <w:lang w:bidi="ar"/>
              </w:rPr>
              <w:t>根据供应商针对本项目协助处理城管执法领域疑难问题法律咨询的服务工作方案及工作部署进行评价：（满分</w:t>
            </w:r>
            <w:r>
              <w:rPr>
                <w:rFonts w:hint="eastAsia" w:ascii="宋体" w:hAnsi="宋体" w:cs="宋体"/>
                <w:b/>
                <w:bCs/>
                <w:color w:val="auto"/>
                <w:kern w:val="0"/>
                <w:sz w:val="24"/>
                <w:szCs w:val="24"/>
                <w:lang w:val="en-US" w:eastAsia="zh-CN" w:bidi="ar"/>
              </w:rPr>
              <w:t>3</w:t>
            </w:r>
            <w:r>
              <w:rPr>
                <w:rFonts w:hint="eastAsia" w:ascii="宋体" w:hAnsi="宋体" w:cs="宋体"/>
                <w:b/>
                <w:bCs/>
                <w:color w:val="auto"/>
                <w:kern w:val="0"/>
                <w:sz w:val="24"/>
                <w:szCs w:val="24"/>
                <w:lang w:bidi="ar"/>
              </w:rPr>
              <w:t>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②在前项①的基础上，方案内容详实、思路清晰合理，流程完整，符合采购人业务项目情况的得2分；</w:t>
            </w:r>
          </w:p>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③为城管执法领域疑难问题出具过三份</w:t>
            </w:r>
            <w:r>
              <w:rPr>
                <w:rFonts w:hint="eastAsia" w:ascii="宋体" w:hAnsi="宋体" w:cs="宋体"/>
                <w:color w:val="auto"/>
                <w:kern w:val="0"/>
                <w:sz w:val="24"/>
                <w:szCs w:val="24"/>
                <w:lang w:val="en-US" w:eastAsia="zh-CN" w:bidi="ar"/>
              </w:rPr>
              <w:t>或</w:t>
            </w:r>
            <w:r>
              <w:rPr>
                <w:rFonts w:hint="eastAsia" w:ascii="宋体" w:hAnsi="宋体" w:cs="宋体"/>
                <w:color w:val="auto"/>
                <w:kern w:val="0"/>
                <w:sz w:val="24"/>
                <w:szCs w:val="24"/>
                <w:lang w:bidi="ar"/>
              </w:rPr>
              <w:t>以上书面法律答复意见（应提供书面法律答复意见</w:t>
            </w:r>
            <w:r>
              <w:rPr>
                <w:rFonts w:hint="eastAsia" w:ascii="宋体" w:hAnsi="宋体" w:cs="宋体"/>
                <w:color w:val="auto"/>
                <w:kern w:val="0"/>
                <w:sz w:val="24"/>
                <w:szCs w:val="24"/>
                <w:lang w:val="en-US" w:eastAsia="zh-CN" w:bidi="ar"/>
              </w:rPr>
              <w:t>复印件</w:t>
            </w:r>
            <w:r>
              <w:rPr>
                <w:rFonts w:hint="eastAsia" w:ascii="宋体" w:hAnsi="宋体" w:cs="宋体"/>
                <w:color w:val="auto"/>
                <w:kern w:val="0"/>
                <w:sz w:val="24"/>
                <w:szCs w:val="24"/>
                <w:lang w:bidi="ar"/>
              </w:rPr>
              <w:t>），且被采纳的得</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w:t>
            </w:r>
          </w:p>
          <w:p>
            <w:pPr>
              <w:widowControl/>
              <w:wordWrap w:val="0"/>
              <w:spacing w:line="360" w:lineRule="auto"/>
              <w:jc w:val="left"/>
              <w:rPr>
                <w:rFonts w:ascii="宋体" w:hAnsi="宋体"/>
                <w:b/>
                <w:bCs w:val="0"/>
                <w:color w:val="auto"/>
                <w:szCs w:val="24"/>
                <w:lang w:bidi="ar"/>
              </w:rPr>
            </w:pPr>
            <w:r>
              <w:rPr>
                <w:rFonts w:hint="eastAsia" w:ascii="宋体" w:hAnsi="宋体" w:cs="宋体"/>
                <w:color w:val="auto"/>
                <w:kern w:val="0"/>
                <w:sz w:val="24"/>
                <w:szCs w:val="24"/>
                <w:lang w:bidi="ar"/>
              </w:rPr>
              <w:t>④未提供或不符合上述要求的不得分。</w:t>
            </w:r>
          </w:p>
        </w:tc>
        <w:tc>
          <w:tcPr>
            <w:tcW w:w="848" w:type="dxa"/>
            <w:vAlign w:val="center"/>
          </w:tcPr>
          <w:p>
            <w:pPr>
              <w:widowControl/>
              <w:wordWrap w:val="0"/>
              <w:spacing w:line="360" w:lineRule="auto"/>
              <w:jc w:val="center"/>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1-9</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根据供应商针对本项目协助处理城管执法领域其他日常法律事务的服务工作方案及工作部署进行评价：（满分3分）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color w:val="auto"/>
                <w:sz w:val="24"/>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1-10</w:t>
            </w:r>
          </w:p>
        </w:tc>
        <w:tc>
          <w:tcPr>
            <w:tcW w:w="7157" w:type="dxa"/>
            <w:gridSpan w:val="2"/>
            <w:vAlign w:val="center"/>
          </w:tcPr>
          <w:p>
            <w:pPr>
              <w:widowControl/>
              <w:wordWrap w:val="0"/>
              <w:spacing w:line="360" w:lineRule="auto"/>
              <w:jc w:val="left"/>
              <w:rPr>
                <w:rFonts w:ascii="宋体" w:hAnsi="宋体" w:cs="宋体"/>
                <w:color w:val="auto"/>
                <w:kern w:val="0"/>
                <w:sz w:val="24"/>
                <w:szCs w:val="24"/>
                <w:lang w:bidi="ar"/>
              </w:rPr>
            </w:pPr>
            <w:r>
              <w:rPr>
                <w:rFonts w:hint="eastAsia" w:ascii="宋体" w:hAnsi="宋体" w:cs="宋体"/>
                <w:b/>
                <w:bCs/>
                <w:color w:val="auto"/>
                <w:kern w:val="0"/>
                <w:sz w:val="24"/>
                <w:szCs w:val="24"/>
                <w:lang w:bidi="ar"/>
              </w:rPr>
              <w:t>根据供应商</w:t>
            </w:r>
            <w:r>
              <w:rPr>
                <w:rFonts w:hint="eastAsia" w:ascii="宋体" w:hAnsi="宋体" w:cs="宋体"/>
                <w:b/>
                <w:bCs/>
                <w:color w:val="auto"/>
                <w:kern w:val="0"/>
                <w:sz w:val="24"/>
                <w:szCs w:val="24"/>
                <w:lang w:val="en-US" w:eastAsia="zh-CN" w:bidi="ar"/>
              </w:rPr>
              <w:t>2020年1月1日以来</w:t>
            </w:r>
            <w:r>
              <w:rPr>
                <w:rFonts w:hint="eastAsia" w:ascii="宋体" w:hAnsi="宋体" w:cs="宋体"/>
                <w:b/>
                <w:bCs/>
                <w:color w:val="auto"/>
                <w:kern w:val="0"/>
                <w:sz w:val="24"/>
                <w:szCs w:val="24"/>
                <w:highlight w:val="none"/>
                <w:lang w:val="en-US" w:eastAsia="zh-CN" w:bidi="ar"/>
              </w:rPr>
              <w:t>（以</w:t>
            </w:r>
            <w:r>
              <w:rPr>
                <w:rFonts w:hint="eastAsia" w:ascii="宋体" w:hAnsi="宋体" w:cs="宋体"/>
                <w:b/>
                <w:bCs/>
                <w:color w:val="auto"/>
                <w:kern w:val="0"/>
                <w:sz w:val="24"/>
                <w:szCs w:val="24"/>
                <w:highlight w:val="none"/>
                <w:lang w:bidi="ar"/>
              </w:rPr>
              <w:t>判决书或者裁定书</w:t>
            </w:r>
            <w:r>
              <w:rPr>
                <w:rFonts w:hint="eastAsia" w:ascii="宋体" w:hAnsi="宋体" w:cs="宋体"/>
                <w:b/>
                <w:bCs/>
                <w:color w:val="auto"/>
                <w:kern w:val="0"/>
                <w:sz w:val="24"/>
                <w:szCs w:val="24"/>
                <w:highlight w:val="none"/>
                <w:lang w:val="en-US" w:eastAsia="zh-CN" w:bidi="ar"/>
              </w:rPr>
              <w:t>落款日期为准）</w:t>
            </w:r>
            <w:r>
              <w:rPr>
                <w:rFonts w:hint="eastAsia" w:ascii="宋体" w:hAnsi="宋体" w:cs="宋体"/>
                <w:b/>
                <w:bCs/>
                <w:color w:val="auto"/>
                <w:kern w:val="0"/>
                <w:sz w:val="24"/>
                <w:szCs w:val="24"/>
                <w:lang w:bidi="ar"/>
              </w:rPr>
              <w:t>对城管执法领域业务诉讼代理等相关要求的熟悉了解情况进行综合对比评价：（满分</w:t>
            </w:r>
            <w:r>
              <w:rPr>
                <w:rFonts w:hint="eastAsia" w:ascii="宋体" w:hAnsi="宋体" w:cs="宋体"/>
                <w:b/>
                <w:bCs/>
                <w:color w:val="auto"/>
                <w:kern w:val="0"/>
                <w:sz w:val="24"/>
                <w:szCs w:val="24"/>
                <w:lang w:val="en-US" w:eastAsia="zh-CN" w:bidi="ar"/>
              </w:rPr>
              <w:t>3</w:t>
            </w:r>
            <w:r>
              <w:rPr>
                <w:rFonts w:hint="eastAsia" w:ascii="宋体" w:hAnsi="宋体" w:cs="宋体"/>
                <w:b/>
                <w:bCs/>
                <w:color w:val="auto"/>
                <w:kern w:val="0"/>
                <w:sz w:val="24"/>
                <w:szCs w:val="24"/>
                <w:lang w:bidi="ar"/>
              </w:rPr>
              <w:t>分）</w:t>
            </w:r>
          </w:p>
          <w:p>
            <w:pPr>
              <w:wordWrap w:val="0"/>
              <w:spacing w:line="360" w:lineRule="auto"/>
              <w:rPr>
                <w:rFonts w:ascii="宋体" w:hAnsi="宋体" w:cs="宋体"/>
                <w:color w:val="auto"/>
                <w:sz w:val="24"/>
                <w:szCs w:val="24"/>
                <w:lang w:bidi="ar"/>
              </w:rPr>
            </w:pPr>
            <w:r>
              <w:rPr>
                <w:rFonts w:hint="eastAsia" w:ascii="宋体" w:hAnsi="宋体" w:cs="宋体"/>
                <w:color w:val="auto"/>
                <w:sz w:val="24"/>
                <w:szCs w:val="24"/>
                <w:lang w:bidi="ar"/>
              </w:rPr>
              <w:t>①办理过城管执法领域行政诉讼案件15件（含）以上的得</w:t>
            </w:r>
            <w:r>
              <w:rPr>
                <w:rFonts w:hint="eastAsia" w:ascii="宋体" w:hAnsi="宋体" w:cs="宋体"/>
                <w:color w:val="auto"/>
                <w:sz w:val="24"/>
                <w:szCs w:val="24"/>
                <w:lang w:val="en-US" w:eastAsia="zh-CN" w:bidi="ar"/>
              </w:rPr>
              <w:t>3</w:t>
            </w:r>
            <w:r>
              <w:rPr>
                <w:rFonts w:hint="eastAsia" w:ascii="宋体" w:hAnsi="宋体" w:cs="宋体"/>
                <w:color w:val="auto"/>
                <w:sz w:val="24"/>
                <w:szCs w:val="24"/>
                <w:lang w:bidi="ar"/>
              </w:rPr>
              <w:t>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②办理过</w:t>
            </w:r>
            <w:r>
              <w:rPr>
                <w:rFonts w:hint="eastAsia" w:ascii="宋体" w:hAnsi="宋体" w:cs="宋体"/>
                <w:color w:val="auto"/>
                <w:sz w:val="24"/>
                <w:szCs w:val="24"/>
                <w:lang w:bidi="ar"/>
              </w:rPr>
              <w:t>城管执法领域行政诉讼案件1</w:t>
            </w:r>
            <w:r>
              <w:rPr>
                <w:rFonts w:hint="eastAsia" w:ascii="宋体" w:hAnsi="宋体" w:cs="宋体"/>
                <w:color w:val="auto"/>
                <w:sz w:val="24"/>
                <w:szCs w:val="24"/>
                <w:lang w:val="en-US" w:eastAsia="zh-CN" w:bidi="ar"/>
              </w:rPr>
              <w:t>0</w:t>
            </w:r>
            <w:r>
              <w:rPr>
                <w:rFonts w:hint="eastAsia" w:ascii="宋体" w:hAnsi="宋体" w:cs="宋体"/>
                <w:color w:val="auto"/>
                <w:sz w:val="24"/>
                <w:szCs w:val="24"/>
                <w:lang w:bidi="ar"/>
              </w:rPr>
              <w:t>件（含）-</w:t>
            </w: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件的得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w:t>
            </w:r>
          </w:p>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③办理过</w:t>
            </w:r>
            <w:r>
              <w:rPr>
                <w:rFonts w:hint="eastAsia" w:ascii="宋体" w:hAnsi="宋体" w:cs="宋体"/>
                <w:color w:val="auto"/>
                <w:sz w:val="24"/>
                <w:szCs w:val="24"/>
                <w:lang w:bidi="ar"/>
              </w:rPr>
              <w:t>城管执法领域行政诉讼案件</w:t>
            </w:r>
            <w:r>
              <w:rPr>
                <w:rFonts w:hint="eastAsia" w:ascii="宋体" w:hAnsi="宋体" w:cs="宋体"/>
                <w:color w:val="auto"/>
                <w:sz w:val="24"/>
                <w:szCs w:val="24"/>
                <w:lang w:val="en-US" w:eastAsia="zh-CN" w:bidi="ar"/>
              </w:rPr>
              <w:t>5</w:t>
            </w:r>
            <w:r>
              <w:rPr>
                <w:rFonts w:hint="eastAsia" w:ascii="宋体" w:hAnsi="宋体" w:cs="宋体"/>
                <w:color w:val="auto"/>
                <w:sz w:val="24"/>
                <w:szCs w:val="24"/>
                <w:lang w:bidi="ar"/>
              </w:rPr>
              <w:t>件</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含</w:t>
            </w:r>
            <w:r>
              <w:rPr>
                <w:rFonts w:hint="eastAsia" w:ascii="宋体" w:hAnsi="宋体" w:cs="宋体"/>
                <w:color w:val="auto"/>
                <w:kern w:val="0"/>
                <w:sz w:val="24"/>
                <w:szCs w:val="24"/>
                <w:lang w:eastAsia="zh-CN" w:bidi="ar"/>
              </w:rPr>
              <w:t>）</w:t>
            </w:r>
            <w:r>
              <w:rPr>
                <w:rFonts w:hint="eastAsia" w:ascii="宋体" w:hAnsi="宋体" w:cs="宋体"/>
                <w:color w:val="auto"/>
                <w:sz w:val="24"/>
                <w:szCs w:val="24"/>
                <w:lang w:bidi="ar"/>
              </w:rPr>
              <w:t>-10</w:t>
            </w:r>
            <w:r>
              <w:rPr>
                <w:rFonts w:hint="eastAsia" w:ascii="宋体" w:hAnsi="宋体" w:cs="宋体"/>
                <w:color w:val="auto"/>
                <w:kern w:val="0"/>
                <w:sz w:val="24"/>
                <w:szCs w:val="24"/>
                <w:lang w:bidi="ar"/>
              </w:rPr>
              <w:t>件的得</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④办理过</w:t>
            </w:r>
            <w:r>
              <w:rPr>
                <w:rFonts w:hint="eastAsia" w:ascii="宋体" w:hAnsi="宋体" w:cs="宋体"/>
                <w:color w:val="auto"/>
                <w:sz w:val="24"/>
                <w:szCs w:val="24"/>
                <w:lang w:bidi="ar"/>
              </w:rPr>
              <w:t>城管执法领域行政诉讼案件</w:t>
            </w:r>
            <w:r>
              <w:rPr>
                <w:rFonts w:hint="eastAsia" w:ascii="宋体" w:hAnsi="宋体" w:cs="宋体"/>
                <w:color w:val="auto"/>
                <w:kern w:val="0"/>
                <w:sz w:val="24"/>
                <w:szCs w:val="24"/>
                <w:lang w:val="en-US" w:eastAsia="zh-CN" w:bidi="ar"/>
              </w:rPr>
              <w:t>不足</w:t>
            </w:r>
            <w:r>
              <w:rPr>
                <w:rFonts w:hint="eastAsia" w:ascii="宋体" w:hAnsi="宋体" w:cs="宋体"/>
                <w:color w:val="auto"/>
                <w:kern w:val="0"/>
                <w:sz w:val="24"/>
                <w:szCs w:val="24"/>
                <w:lang w:bidi="ar"/>
              </w:rPr>
              <w:t>5件的不得分。</w:t>
            </w:r>
          </w:p>
          <w:p>
            <w:pPr>
              <w:widowControl/>
              <w:wordWrap w:val="0"/>
              <w:spacing w:line="360" w:lineRule="auto"/>
              <w:jc w:val="left"/>
              <w:rPr>
                <w:rFonts w:ascii="宋体" w:hAnsi="宋体" w:cs="宋体"/>
                <w:b/>
                <w:bCs/>
                <w:color w:val="auto"/>
                <w:kern w:val="0"/>
                <w:sz w:val="24"/>
                <w:szCs w:val="24"/>
              </w:rPr>
            </w:pPr>
            <w:r>
              <w:rPr>
                <w:rFonts w:hint="eastAsia" w:ascii="宋体" w:hAnsi="宋体" w:cs="宋体"/>
                <w:b/>
                <w:bCs/>
                <w:color w:val="auto"/>
                <w:sz w:val="24"/>
                <w:szCs w:val="24"/>
              </w:rPr>
              <w:t>注：该项代理的内容为城管执法领域，为原告</w:t>
            </w:r>
            <w:ins w:id="22" w:author="FYD" w:date="2023-05-25T16:30:33Z">
              <w:r>
                <w:rPr>
                  <w:rFonts w:hint="eastAsia" w:ascii="宋体" w:hAnsi="宋体" w:cs="宋体"/>
                  <w:b/>
                  <w:bCs/>
                  <w:color w:val="auto"/>
                  <w:sz w:val="24"/>
                  <w:szCs w:val="24"/>
                  <w:lang w:val="en-US" w:eastAsia="zh-CN"/>
                </w:rPr>
                <w:t>或</w:t>
              </w:r>
            </w:ins>
            <w:r>
              <w:rPr>
                <w:rFonts w:hint="eastAsia" w:ascii="宋体" w:hAnsi="宋体" w:cs="宋体"/>
                <w:b/>
                <w:bCs/>
                <w:color w:val="auto"/>
                <w:sz w:val="24"/>
                <w:szCs w:val="24"/>
              </w:rPr>
              <w:t>为城管执法部门或人民政府为被告的代理人均可计入；一个案件经过一二审、再审程序，以判决书或裁定书文号为准，一个文书号计一件。计算判决书或裁定书的时间为文书的落款时间。</w:t>
            </w:r>
            <w:r>
              <w:rPr>
                <w:rFonts w:hint="eastAsia" w:ascii="宋体" w:hAnsi="宋体" w:cs="宋体"/>
                <w:color w:val="auto"/>
                <w:sz w:val="24"/>
                <w:szCs w:val="24"/>
              </w:rPr>
              <w:t>供应商须提供相关文书等证明材料，并加盖公章，</w:t>
            </w:r>
            <w:r>
              <w:rPr>
                <w:rFonts w:hint="eastAsia" w:ascii="宋体" w:hAnsi="宋体"/>
                <w:color w:val="auto"/>
                <w:sz w:val="24"/>
                <w:szCs w:val="24"/>
              </w:rPr>
              <w:t>否则本项不得分</w:t>
            </w:r>
            <w:r>
              <w:rPr>
                <w:rFonts w:hint="eastAsia" w:ascii="宋体" w:hAnsi="宋体" w:cs="宋体"/>
                <w:color w:val="auto"/>
                <w:sz w:val="24"/>
                <w:szCs w:val="24"/>
              </w:rPr>
              <w:t>。</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7" w:type="dxa"/>
            <w:gridSpan w:val="2"/>
            <w:vAlign w:val="center"/>
          </w:tcPr>
          <w:p>
            <w:pPr>
              <w:widowControl/>
              <w:wordWrap w:val="0"/>
              <w:spacing w:line="360" w:lineRule="auto"/>
              <w:jc w:val="center"/>
              <w:rPr>
                <w:rFonts w:ascii="宋体" w:hAnsi="宋体" w:cs="宋体"/>
                <w:color w:val="auto"/>
                <w:sz w:val="24"/>
              </w:rPr>
            </w:pPr>
            <w:r>
              <w:rPr>
                <w:rFonts w:hint="eastAsia" w:ascii="宋体" w:hAnsi="宋体" w:cs="宋体"/>
                <w:color w:val="auto"/>
                <w:kern w:val="0"/>
                <w:sz w:val="24"/>
                <w:szCs w:val="24"/>
                <w:lang w:bidi="ar"/>
              </w:rPr>
              <w:t>1-11</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根据供应商对城管执法领域矛盾纠纷的调处能力相关要求的熟悉了解情况进行综合对比评价：（满分3分）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供应商参与协助行政机关或事业单位矛盾纠纷调处并调解成功的，每提供1件得1分，满分3分，未参与过的不得分。</w:t>
            </w:r>
          </w:p>
          <w:p>
            <w:pPr>
              <w:widowControl/>
              <w:wordWrap w:val="0"/>
              <w:spacing w:line="360" w:lineRule="auto"/>
              <w:jc w:val="left"/>
              <w:rPr>
                <w:rFonts w:ascii="宋体" w:hAnsi="宋体" w:cs="宋体"/>
                <w:b/>
                <w:bCs/>
                <w:color w:val="auto"/>
                <w:kern w:val="0"/>
                <w:sz w:val="24"/>
                <w:szCs w:val="24"/>
              </w:rPr>
            </w:pPr>
            <w:r>
              <w:rPr>
                <w:rFonts w:hint="eastAsia" w:ascii="宋体" w:hAnsi="宋体" w:cs="宋体"/>
                <w:b/>
                <w:bCs/>
                <w:color w:val="auto"/>
                <w:sz w:val="24"/>
                <w:szCs w:val="24"/>
                <w:lang w:bidi="ar"/>
              </w:rPr>
              <w:t>注：</w:t>
            </w:r>
            <w:r>
              <w:rPr>
                <w:rFonts w:hint="eastAsia" w:ascii="宋体" w:hAnsi="宋体" w:cs="宋体"/>
                <w:color w:val="auto"/>
                <w:sz w:val="24"/>
                <w:szCs w:val="24"/>
                <w:lang w:bidi="ar"/>
              </w:rPr>
              <w:t>供应商须提供其对此类项目有丰富经验、具备完成本项目实力的相关证明材料，并加盖公章，</w:t>
            </w:r>
            <w:r>
              <w:rPr>
                <w:rFonts w:hint="eastAsia" w:ascii="宋体" w:hAnsi="宋体"/>
                <w:color w:val="auto"/>
                <w:sz w:val="24"/>
                <w:szCs w:val="24"/>
                <w:lang w:bidi="ar"/>
              </w:rPr>
              <w:t>否则本项不得分</w:t>
            </w:r>
            <w:r>
              <w:rPr>
                <w:rFonts w:hint="eastAsia" w:ascii="宋体" w:hAnsi="宋体" w:cs="宋体"/>
                <w:color w:val="auto"/>
                <w:sz w:val="24"/>
                <w:szCs w:val="24"/>
                <w:lang w:bidi="ar"/>
              </w:rPr>
              <w:t>。</w:t>
            </w:r>
          </w:p>
        </w:tc>
        <w:tc>
          <w:tcPr>
            <w:tcW w:w="848" w:type="dxa"/>
            <w:vAlign w:val="center"/>
          </w:tcPr>
          <w:p>
            <w:pPr>
              <w:widowControl/>
              <w:wordWrap w:val="0"/>
              <w:spacing w:line="360" w:lineRule="auto"/>
              <w:jc w:val="center"/>
              <w:rPr>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1-12</w:t>
            </w:r>
          </w:p>
        </w:tc>
        <w:tc>
          <w:tcPr>
            <w:tcW w:w="7157" w:type="dxa"/>
            <w:gridSpan w:val="2"/>
            <w:vAlign w:val="center"/>
          </w:tcPr>
          <w:p>
            <w:pPr>
              <w:pStyle w:val="27"/>
              <w:widowControl/>
              <w:wordWrap w:val="0"/>
              <w:spacing w:line="360" w:lineRule="auto"/>
              <w:jc w:val="left"/>
              <w:rPr>
                <w:rStyle w:val="87"/>
                <w:rFonts w:hint="eastAsia" w:ascii="宋体" w:hAnsi="宋体"/>
                <w:b/>
                <w:color w:val="auto"/>
              </w:rPr>
            </w:pPr>
            <w:r>
              <w:rPr>
                <w:rStyle w:val="87"/>
                <w:rFonts w:hint="eastAsia" w:ascii="宋体" w:hAnsi="宋体"/>
                <w:b/>
                <w:color w:val="auto"/>
              </w:rPr>
              <w:t>根据供应商提供的人员成本占比书面承诺（需加盖公章）进行评价：（满分</w:t>
            </w:r>
            <w:r>
              <w:rPr>
                <w:rStyle w:val="87"/>
                <w:rFonts w:hint="eastAsia" w:ascii="宋体" w:hAnsi="宋体"/>
                <w:b/>
                <w:color w:val="auto"/>
                <w:lang w:val="en-US" w:eastAsia="zh-CN"/>
              </w:rPr>
              <w:t>3</w:t>
            </w:r>
            <w:r>
              <w:rPr>
                <w:rStyle w:val="87"/>
                <w:rFonts w:hint="eastAsia" w:ascii="宋体" w:hAnsi="宋体"/>
                <w:b/>
                <w:color w:val="auto"/>
              </w:rPr>
              <w:t>分）①供应商承诺人员成本占总成本的80%及以上得</w:t>
            </w:r>
            <w:r>
              <w:rPr>
                <w:rStyle w:val="87"/>
                <w:rFonts w:hint="eastAsia" w:ascii="宋体" w:hAnsi="宋体"/>
                <w:b/>
                <w:color w:val="auto"/>
                <w:lang w:val="en-US" w:eastAsia="zh-CN"/>
              </w:rPr>
              <w:t>3</w:t>
            </w:r>
            <w:r>
              <w:rPr>
                <w:rStyle w:val="87"/>
                <w:rFonts w:hint="eastAsia" w:ascii="宋体" w:hAnsi="宋体"/>
                <w:b/>
                <w:color w:val="auto"/>
              </w:rPr>
              <w:t>分；</w:t>
            </w:r>
          </w:p>
          <w:p>
            <w:pPr>
              <w:pStyle w:val="27"/>
              <w:widowControl/>
              <w:wordWrap w:val="0"/>
              <w:spacing w:line="360" w:lineRule="auto"/>
              <w:jc w:val="left"/>
              <w:rPr>
                <w:rStyle w:val="87"/>
                <w:rFonts w:hint="eastAsia" w:ascii="宋体" w:hAnsi="宋体"/>
                <w:b/>
                <w:color w:val="auto"/>
              </w:rPr>
            </w:pPr>
            <w:r>
              <w:rPr>
                <w:rStyle w:val="87"/>
                <w:rFonts w:hint="eastAsia" w:ascii="宋体" w:hAnsi="宋体"/>
                <w:b/>
                <w:color w:val="auto"/>
              </w:rPr>
              <w:t>②供应商承诺人员成本占总成本的75%</w:t>
            </w:r>
            <w:ins w:id="23" w:author="FYD" w:date="2023-05-25T16:29:57Z">
              <w:r>
                <w:rPr>
                  <w:rStyle w:val="87"/>
                  <w:rFonts w:hint="eastAsia" w:ascii="宋体" w:hAnsi="宋体"/>
                  <w:b/>
                  <w:color w:val="auto"/>
                  <w:lang w:eastAsia="zh-CN"/>
                </w:rPr>
                <w:t>（</w:t>
              </w:r>
            </w:ins>
            <w:ins w:id="24" w:author="FYD" w:date="2023-05-25T16:29:57Z">
              <w:r>
                <w:rPr>
                  <w:rStyle w:val="87"/>
                  <w:rFonts w:hint="eastAsia" w:ascii="宋体" w:hAnsi="宋体"/>
                  <w:b/>
                  <w:color w:val="auto"/>
                  <w:lang w:val="en-US" w:eastAsia="zh-CN"/>
                </w:rPr>
                <w:t>含7</w:t>
              </w:r>
            </w:ins>
            <w:ins w:id="25" w:author="FYD" w:date="2023-05-25T16:30:02Z">
              <w:r>
                <w:rPr>
                  <w:rStyle w:val="87"/>
                  <w:rFonts w:hint="eastAsia" w:ascii="宋体" w:hAnsi="宋体"/>
                  <w:b/>
                  <w:color w:val="auto"/>
                  <w:lang w:val="en-US" w:eastAsia="zh-CN"/>
                </w:rPr>
                <w:t>5</w:t>
              </w:r>
            </w:ins>
            <w:ins w:id="26" w:author="FYD" w:date="2023-05-25T16:29:57Z">
              <w:r>
                <w:rPr>
                  <w:rStyle w:val="87"/>
                  <w:rFonts w:hint="eastAsia" w:ascii="宋体" w:hAnsi="宋体"/>
                  <w:b/>
                  <w:color w:val="auto"/>
                  <w:lang w:val="en-US" w:eastAsia="zh-CN"/>
                </w:rPr>
                <w:t>%</w:t>
              </w:r>
            </w:ins>
            <w:ins w:id="27" w:author="FYD" w:date="2023-05-25T16:29:57Z">
              <w:r>
                <w:rPr>
                  <w:rStyle w:val="87"/>
                  <w:rFonts w:hint="eastAsia" w:ascii="宋体" w:hAnsi="宋体"/>
                  <w:b/>
                  <w:color w:val="auto"/>
                  <w:lang w:eastAsia="zh-CN"/>
                </w:rPr>
                <w:t>）</w:t>
              </w:r>
            </w:ins>
            <w:r>
              <w:rPr>
                <w:rStyle w:val="87"/>
                <w:rFonts w:hint="eastAsia" w:ascii="宋体" w:hAnsi="宋体"/>
                <w:b/>
                <w:color w:val="auto"/>
              </w:rPr>
              <w:t>-80%得</w:t>
            </w:r>
            <w:r>
              <w:rPr>
                <w:rStyle w:val="87"/>
                <w:rFonts w:hint="eastAsia" w:ascii="宋体" w:hAnsi="宋体"/>
                <w:b/>
                <w:color w:val="auto"/>
                <w:lang w:val="en-US" w:eastAsia="zh-CN"/>
              </w:rPr>
              <w:t>2</w:t>
            </w:r>
            <w:r>
              <w:rPr>
                <w:rStyle w:val="87"/>
                <w:rFonts w:hint="eastAsia" w:ascii="宋体" w:hAnsi="宋体"/>
                <w:b/>
                <w:color w:val="auto"/>
              </w:rPr>
              <w:t>分；</w:t>
            </w:r>
          </w:p>
          <w:p>
            <w:pPr>
              <w:pStyle w:val="27"/>
              <w:widowControl/>
              <w:wordWrap w:val="0"/>
              <w:spacing w:line="360" w:lineRule="auto"/>
              <w:jc w:val="left"/>
              <w:rPr>
                <w:rStyle w:val="87"/>
                <w:rFonts w:ascii="宋体" w:hAnsi="宋体"/>
                <w:b/>
                <w:color w:val="auto"/>
              </w:rPr>
            </w:pPr>
            <w:r>
              <w:rPr>
                <w:rStyle w:val="87"/>
                <w:rFonts w:hint="eastAsia" w:ascii="宋体" w:hAnsi="宋体"/>
                <w:b/>
                <w:color w:val="auto"/>
              </w:rPr>
              <w:t>③供应商承诺人员成本占总成本的70%</w:t>
            </w:r>
            <w:ins w:id="28" w:author="FYD" w:date="2023-05-25T16:29:45Z">
              <w:r>
                <w:rPr>
                  <w:rStyle w:val="87"/>
                  <w:rFonts w:hint="eastAsia" w:ascii="宋体" w:hAnsi="宋体"/>
                  <w:b/>
                  <w:color w:val="auto"/>
                  <w:lang w:eastAsia="zh-CN"/>
                </w:rPr>
                <w:t>（</w:t>
              </w:r>
            </w:ins>
            <w:ins w:id="29" w:author="FYD" w:date="2023-05-25T16:29:48Z">
              <w:r>
                <w:rPr>
                  <w:rStyle w:val="87"/>
                  <w:rFonts w:hint="eastAsia" w:ascii="宋体" w:hAnsi="宋体"/>
                  <w:b/>
                  <w:color w:val="auto"/>
                  <w:lang w:val="en-US" w:eastAsia="zh-CN"/>
                </w:rPr>
                <w:t>含70</w:t>
              </w:r>
            </w:ins>
            <w:ins w:id="30" w:author="FYD" w:date="2023-05-25T16:29:50Z">
              <w:r>
                <w:rPr>
                  <w:rStyle w:val="87"/>
                  <w:rFonts w:hint="eastAsia" w:ascii="宋体" w:hAnsi="宋体"/>
                  <w:b/>
                  <w:color w:val="auto"/>
                  <w:lang w:val="en-US" w:eastAsia="zh-CN"/>
                </w:rPr>
                <w:t>%</w:t>
              </w:r>
            </w:ins>
            <w:ins w:id="31" w:author="FYD" w:date="2023-05-25T16:29:46Z">
              <w:r>
                <w:rPr>
                  <w:rStyle w:val="87"/>
                  <w:rFonts w:hint="eastAsia" w:ascii="宋体" w:hAnsi="宋体"/>
                  <w:b/>
                  <w:color w:val="auto"/>
                  <w:lang w:eastAsia="zh-CN"/>
                </w:rPr>
                <w:t>）</w:t>
              </w:r>
            </w:ins>
            <w:r>
              <w:rPr>
                <w:rStyle w:val="87"/>
                <w:rFonts w:hint="eastAsia" w:ascii="宋体" w:hAnsi="宋体"/>
                <w:b/>
                <w:color w:val="auto"/>
              </w:rPr>
              <w:t>-75%得</w:t>
            </w:r>
            <w:r>
              <w:rPr>
                <w:rStyle w:val="87"/>
                <w:rFonts w:hint="eastAsia" w:ascii="宋体" w:hAnsi="宋体"/>
                <w:b/>
                <w:color w:val="auto"/>
                <w:lang w:val="en-US" w:eastAsia="zh-CN"/>
              </w:rPr>
              <w:t>1</w:t>
            </w:r>
            <w:r>
              <w:rPr>
                <w:rStyle w:val="87"/>
                <w:rFonts w:hint="eastAsia" w:ascii="宋体" w:hAnsi="宋体"/>
                <w:b/>
                <w:color w:val="auto"/>
              </w:rPr>
              <w:t>分；</w:t>
            </w:r>
          </w:p>
          <w:p>
            <w:pPr>
              <w:pStyle w:val="27"/>
              <w:widowControl/>
              <w:wordWrap w:val="0"/>
              <w:spacing w:line="360" w:lineRule="auto"/>
              <w:jc w:val="left"/>
              <w:rPr>
                <w:rStyle w:val="87"/>
                <w:rFonts w:hint="eastAsia" w:ascii="宋体" w:hAnsi="宋体"/>
                <w:b/>
                <w:color w:val="auto"/>
              </w:rPr>
            </w:pPr>
            <w:r>
              <w:rPr>
                <w:rStyle w:val="87"/>
                <w:rFonts w:hint="eastAsia" w:ascii="宋体" w:hAnsi="宋体"/>
                <w:b/>
                <w:color w:val="auto"/>
              </w:rPr>
              <w:t>④供应商承诺人员成本占总成本的70%以下的不得分；</w:t>
            </w:r>
          </w:p>
          <w:p>
            <w:pPr>
              <w:pStyle w:val="27"/>
              <w:widowControl/>
              <w:wordWrap w:val="0"/>
              <w:spacing w:line="360" w:lineRule="auto"/>
              <w:jc w:val="left"/>
              <w:rPr>
                <w:rFonts w:cs="宋体-方正超大字符集"/>
                <w:b/>
                <w:color w:val="auto"/>
                <w:szCs w:val="24"/>
              </w:rPr>
            </w:pPr>
            <w:r>
              <w:rPr>
                <w:rStyle w:val="87"/>
                <w:rFonts w:hint="eastAsia" w:ascii="宋体" w:hAnsi="宋体"/>
                <w:b/>
                <w:color w:val="auto"/>
              </w:rPr>
              <w:t>备注：该处人员成本是包干费用扣除相关税费、五险一金的单位支出费用、岗前培训费、职业律师会员费后的金额。</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1-13</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根据供应商提供对服务项目的保密制度措施进行评价：（满分3分）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cs="宋体-方正超大字符集"/>
                <w:b/>
                <w:color w:val="auto"/>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1-14</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根据供应商针对本项目的廉洁执业保证措施进行评价：（满分3分）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②在前项①的基础上，方案内容详实、思路清晰合理，流程完整，符合采购人业务项目情况的得3分；</w:t>
            </w:r>
          </w:p>
          <w:p>
            <w:pPr>
              <w:widowControl/>
              <w:wordWrap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lang w:bidi="ar"/>
              </w:rPr>
              <w:t>③未提供或不符合上述要求的不得分。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ascii="宋体" w:hAnsi="宋体"/>
                <w:bCs/>
                <w:color w:val="auto"/>
                <w:sz w:val="24"/>
              </w:rPr>
            </w:pPr>
            <w:r>
              <w:rPr>
                <w:rFonts w:hint="eastAsia" w:ascii="宋体" w:hAnsi="宋体" w:cs="宋体"/>
                <w:color w:val="auto"/>
                <w:kern w:val="0"/>
                <w:sz w:val="24"/>
                <w:szCs w:val="24"/>
                <w:lang w:bidi="ar"/>
              </w:rPr>
              <w:t>1-15</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w:t>
            </w:r>
            <w:ins w:id="32" w:author="FYD" w:date="2023-05-25T16:19:57Z">
              <w:r>
                <w:rPr>
                  <w:rFonts w:hint="eastAsia" w:ascii="宋体" w:hAnsi="宋体" w:cs="宋体"/>
                  <w:b/>
                  <w:bCs/>
                  <w:color w:val="auto"/>
                  <w:kern w:val="0"/>
                  <w:sz w:val="24"/>
                  <w:szCs w:val="24"/>
                  <w:lang w:bidi="ar"/>
                  <w:rPrChange w:id="33" w:author="FYD" w:date="2023-05-25T16:19:57Z">
                    <w:rPr>
                      <w:rFonts w:hint="eastAsia"/>
                    </w:rPr>
                  </w:rPrChange>
                </w:rPr>
                <w:t>拟派</w:t>
              </w:r>
            </w:ins>
            <w:del w:id="34" w:author="FYD" w:date="2023-05-25T16:19:57Z">
              <w:r>
                <w:rPr>
                  <w:rFonts w:hint="eastAsia" w:ascii="宋体" w:hAnsi="宋体" w:cs="宋体"/>
                  <w:b/>
                  <w:bCs/>
                  <w:color w:val="auto"/>
                  <w:kern w:val="0"/>
                  <w:sz w:val="24"/>
                  <w:szCs w:val="24"/>
                  <w:lang w:bidi="ar"/>
                </w:rPr>
                <w:delText>在</w:delText>
              </w:r>
            </w:del>
            <w:r>
              <w:rPr>
                <w:rFonts w:hint="eastAsia" w:ascii="宋体" w:hAnsi="宋体" w:cs="宋体"/>
                <w:b/>
                <w:bCs/>
                <w:color w:val="auto"/>
                <w:kern w:val="0"/>
                <w:sz w:val="24"/>
                <w:szCs w:val="24"/>
                <w:lang w:bidi="ar"/>
              </w:rPr>
              <w:t>本项目</w:t>
            </w:r>
            <w:ins w:id="35" w:author="FYD" w:date="2023-05-25T16:19:44Z">
              <w:r>
                <w:rPr>
                  <w:rFonts w:hint="eastAsia" w:ascii="宋体" w:hAnsi="宋体" w:cs="宋体"/>
                  <w:b/>
                  <w:bCs/>
                  <w:color w:val="auto"/>
                  <w:kern w:val="0"/>
                  <w:sz w:val="24"/>
                  <w:szCs w:val="24"/>
                  <w:lang w:bidi="ar"/>
                  <w:rPrChange w:id="36" w:author="FYD" w:date="2023-05-25T16:19:44Z">
                    <w:rPr>
                      <w:rFonts w:hint="eastAsia"/>
                    </w:rPr>
                  </w:rPrChange>
                </w:rPr>
                <w:t>的服务人员所在律师团队</w:t>
              </w:r>
            </w:ins>
            <w:del w:id="37" w:author="FYD" w:date="2023-05-25T16:19:44Z">
              <w:r>
                <w:rPr>
                  <w:rFonts w:hint="eastAsia" w:ascii="宋体" w:hAnsi="宋体" w:cs="宋体"/>
                  <w:b/>
                  <w:bCs/>
                  <w:color w:val="auto"/>
                  <w:kern w:val="0"/>
                  <w:sz w:val="24"/>
                  <w:szCs w:val="24"/>
                  <w:lang w:bidi="ar"/>
                </w:rPr>
                <w:delText>配备的服务人员</w:delText>
              </w:r>
            </w:del>
            <w:r>
              <w:rPr>
                <w:rFonts w:hint="eastAsia" w:ascii="宋体" w:hAnsi="宋体" w:cs="宋体"/>
                <w:b/>
                <w:bCs/>
                <w:color w:val="auto"/>
                <w:kern w:val="0"/>
                <w:sz w:val="24"/>
                <w:szCs w:val="24"/>
                <w:lang w:bidi="ar"/>
              </w:rPr>
              <w:t>组织、岗位、配置进行对比和评价：（满分3分）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①内容覆盖上述内容的得1分；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②在前项①的基础上，服务人员组织完整，岗位清晰，配置合理，符合采购人业务项目情况的得3分；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③未提供或不符合上述要求的不得分。</w:t>
            </w:r>
          </w:p>
          <w:p>
            <w:pPr>
              <w:widowControl/>
              <w:wordWrap w:val="0"/>
              <w:spacing w:line="360" w:lineRule="auto"/>
              <w:jc w:val="left"/>
              <w:rPr>
                <w:rFonts w:ascii="宋体" w:hAnsi="宋体" w:cs="宋体"/>
                <w:b/>
                <w:bCs/>
                <w:color w:val="auto"/>
                <w:kern w:val="0"/>
                <w:sz w:val="24"/>
                <w:szCs w:val="24"/>
              </w:rPr>
            </w:pPr>
            <w:r>
              <w:rPr>
                <w:rFonts w:hint="eastAsia" w:ascii="宋体" w:hAnsi="宋体"/>
                <w:b/>
                <w:bCs/>
                <w:color w:val="auto"/>
                <w:sz w:val="24"/>
                <w:szCs w:val="24"/>
                <w:lang w:bidi="ar"/>
              </w:rPr>
              <w:t>注：</w:t>
            </w:r>
            <w:r>
              <w:rPr>
                <w:rFonts w:hint="eastAsia" w:ascii="宋体" w:hAnsi="宋体"/>
                <w:color w:val="auto"/>
                <w:sz w:val="24"/>
                <w:szCs w:val="24"/>
                <w:lang w:bidi="ar"/>
              </w:rPr>
              <w:t>供应商须提供该服务人员的（1）学历证书</w:t>
            </w:r>
            <w:ins w:id="38" w:author="FYD" w:date="2023-05-25T16:20:06Z">
              <w:r>
                <w:rPr>
                  <w:rFonts w:hint="eastAsia" w:ascii="宋体" w:hAnsi="宋体"/>
                  <w:color w:val="auto"/>
                  <w:sz w:val="24"/>
                  <w:szCs w:val="24"/>
                  <w:lang w:val="en-US" w:eastAsia="zh-CN" w:bidi="ar"/>
                </w:rPr>
                <w:t>复印件</w:t>
              </w:r>
            </w:ins>
            <w:r>
              <w:rPr>
                <w:rFonts w:hint="eastAsia" w:ascii="宋体" w:hAnsi="宋体"/>
                <w:color w:val="auto"/>
                <w:sz w:val="24"/>
                <w:szCs w:val="24"/>
                <w:lang w:bidi="ar"/>
              </w:rPr>
              <w:t>；（2）资格证书</w:t>
            </w:r>
            <w:ins w:id="39" w:author="FYD" w:date="2023-05-25T16:20:09Z">
              <w:r>
                <w:rPr>
                  <w:rFonts w:hint="eastAsia" w:ascii="宋体" w:hAnsi="宋体"/>
                  <w:color w:val="auto"/>
                  <w:sz w:val="24"/>
                  <w:szCs w:val="24"/>
                  <w:lang w:val="en-US" w:eastAsia="zh-CN" w:bidi="ar"/>
                </w:rPr>
                <w:t>复印件</w:t>
              </w:r>
            </w:ins>
            <w:r>
              <w:rPr>
                <w:rFonts w:hint="eastAsia" w:ascii="宋体" w:hAnsi="宋体"/>
                <w:color w:val="auto"/>
                <w:sz w:val="24"/>
                <w:szCs w:val="24"/>
                <w:lang w:bidi="ar"/>
              </w:rPr>
              <w:t>；（</w:t>
            </w:r>
            <w:r>
              <w:rPr>
                <w:rFonts w:ascii="宋体" w:hAnsi="宋体"/>
                <w:color w:val="auto"/>
                <w:sz w:val="24"/>
                <w:szCs w:val="24"/>
                <w:lang w:bidi="ar"/>
              </w:rPr>
              <w:t>3</w:t>
            </w:r>
            <w:r>
              <w:rPr>
                <w:rFonts w:hint="eastAsia" w:ascii="宋体" w:hAnsi="宋体"/>
                <w:color w:val="auto"/>
                <w:sz w:val="24"/>
                <w:szCs w:val="24"/>
                <w:lang w:bidi="ar"/>
              </w:rPr>
              <w:t>）身份证复印件</w:t>
            </w:r>
            <w:r>
              <w:rPr>
                <w:rFonts w:hint="eastAsia" w:ascii="宋体" w:hAnsi="宋体"/>
                <w:color w:val="auto"/>
                <w:sz w:val="24"/>
                <w:szCs w:val="24"/>
                <w:lang w:eastAsia="zh-CN" w:bidi="ar"/>
              </w:rPr>
              <w:t>（</w:t>
            </w:r>
            <w:r>
              <w:rPr>
                <w:rFonts w:hint="eastAsia" w:ascii="宋体" w:hAnsi="宋体"/>
                <w:color w:val="auto"/>
                <w:sz w:val="24"/>
                <w:szCs w:val="24"/>
                <w:lang w:val="en-US" w:eastAsia="zh-CN" w:bidi="ar"/>
              </w:rPr>
              <w:t>4</w:t>
            </w:r>
            <w:r>
              <w:rPr>
                <w:rFonts w:hint="eastAsia" w:ascii="宋体" w:hAnsi="宋体"/>
                <w:color w:val="auto"/>
                <w:sz w:val="24"/>
                <w:szCs w:val="24"/>
                <w:lang w:eastAsia="zh-CN" w:bidi="ar"/>
              </w:rPr>
              <w:t>）</w:t>
            </w:r>
            <w:r>
              <w:rPr>
                <w:rFonts w:hint="eastAsia" w:ascii="宋体" w:hAnsi="宋体"/>
                <w:color w:val="auto"/>
                <w:sz w:val="24"/>
                <w:szCs w:val="24"/>
                <w:lang w:bidi="ar"/>
              </w:rPr>
              <w:t>磋商截止前六个月任意一个月（磋商截止当月新成立的企业，尚未缴纳社保的，提供说明，视为社保资料符合要求）供应商为其缴纳社会保险的证明材料；证明材料要求四项齐全</w:t>
            </w:r>
            <w:r>
              <w:rPr>
                <w:rFonts w:hint="eastAsia" w:ascii="宋体" w:hAnsi="宋体"/>
                <w:color w:val="auto"/>
                <w:sz w:val="24"/>
                <w:szCs w:val="24"/>
                <w:lang w:val="en-US" w:eastAsia="zh-CN" w:bidi="ar"/>
              </w:rPr>
              <w:t>并加盖公章</w:t>
            </w:r>
            <w:r>
              <w:rPr>
                <w:rFonts w:hint="eastAsia" w:ascii="宋体" w:hAnsi="宋体"/>
                <w:color w:val="auto"/>
                <w:sz w:val="24"/>
                <w:szCs w:val="24"/>
                <w:lang w:eastAsia="zh-CN" w:bidi="ar"/>
              </w:rPr>
              <w:t>，</w:t>
            </w:r>
            <w:r>
              <w:rPr>
                <w:rFonts w:hint="eastAsia" w:ascii="宋体" w:hAnsi="宋体"/>
                <w:color w:val="auto"/>
                <w:sz w:val="24"/>
                <w:szCs w:val="24"/>
                <w:lang w:bidi="ar"/>
              </w:rPr>
              <w:t>如未按以上要求提供完整资料的业绩不予计分。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hint="default" w:ascii="宋体" w:hAnsi="宋体" w:eastAsia="宋体"/>
                <w:bCs/>
                <w:color w:val="auto"/>
                <w:sz w:val="24"/>
                <w:lang w:val="en-US" w:eastAsia="zh-CN"/>
              </w:rPr>
            </w:pPr>
            <w:r>
              <w:rPr>
                <w:rFonts w:hint="eastAsia" w:ascii="宋体" w:hAnsi="宋体" w:cs="宋体"/>
                <w:color w:val="auto"/>
                <w:kern w:val="0"/>
                <w:sz w:val="24"/>
                <w:szCs w:val="24"/>
                <w:lang w:bidi="ar"/>
              </w:rPr>
              <w:t>1-16</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根据供应商拟派本项目的服务人员所在律师团队进行评价：（满分3分）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供应商拟派的服务人员所在服务团队，有律师工作年限超过15年（含）以上的得3分，未超过15年的得1分。</w:t>
            </w:r>
          </w:p>
          <w:p>
            <w:pPr>
              <w:widowControl/>
              <w:wordWrap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lang w:bidi="ar"/>
              </w:rPr>
              <w:t>注：</w:t>
            </w:r>
            <w:r>
              <w:rPr>
                <w:rFonts w:hint="eastAsia" w:ascii="宋体" w:hAnsi="宋体" w:cs="宋体"/>
                <w:color w:val="auto"/>
                <w:kern w:val="0"/>
                <w:sz w:val="24"/>
                <w:szCs w:val="24"/>
                <w:lang w:bidi="ar"/>
              </w:rPr>
              <w:t>供应商须提供拟派本项目主办律师执业资格证书有效复印件、相关资历材料证明及</w:t>
            </w:r>
            <w:r>
              <w:rPr>
                <w:rFonts w:hint="eastAsia" w:ascii="宋体" w:hAnsi="宋体" w:cs="宋体"/>
                <w:color w:val="auto"/>
                <w:kern w:val="0"/>
                <w:sz w:val="24"/>
                <w:szCs w:val="24"/>
                <w:lang w:val="en-US" w:eastAsia="zh-CN" w:bidi="ar"/>
              </w:rPr>
              <w:t>磋商截止</w:t>
            </w:r>
            <w:r>
              <w:rPr>
                <w:rFonts w:hint="eastAsia" w:ascii="宋体" w:hAnsi="宋体" w:cs="宋体"/>
                <w:color w:val="auto"/>
                <w:kern w:val="0"/>
                <w:sz w:val="24"/>
                <w:szCs w:val="24"/>
                <w:lang w:bidi="ar"/>
              </w:rPr>
              <w:t>前六个月任意一个月（</w:t>
            </w:r>
            <w:r>
              <w:rPr>
                <w:rFonts w:hint="eastAsia" w:ascii="宋体" w:hAnsi="宋体" w:cs="宋体"/>
                <w:color w:val="auto"/>
                <w:kern w:val="0"/>
                <w:sz w:val="24"/>
                <w:szCs w:val="24"/>
                <w:lang w:val="en-US" w:eastAsia="zh-CN" w:bidi="ar"/>
              </w:rPr>
              <w:t>磋商</w:t>
            </w:r>
            <w:r>
              <w:rPr>
                <w:rFonts w:hint="eastAsia" w:ascii="宋体" w:hAnsi="宋体" w:cs="宋体"/>
                <w:color w:val="auto"/>
                <w:kern w:val="0"/>
                <w:sz w:val="24"/>
                <w:szCs w:val="24"/>
                <w:lang w:bidi="ar"/>
              </w:rPr>
              <w:t>截止当月新成立的企业，尚未缴纳社保的，提供说明，视为社保资料符合要求）</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为其缴纳社会保险的证明材料</w:t>
            </w:r>
            <w:r>
              <w:rPr>
                <w:rFonts w:hint="eastAsia" w:ascii="宋体" w:hAnsi="宋体" w:cs="宋体"/>
                <w:color w:val="auto"/>
                <w:kern w:val="0"/>
                <w:sz w:val="24"/>
                <w:szCs w:val="24"/>
                <w:lang w:val="en-US" w:eastAsia="zh-CN" w:bidi="ar"/>
              </w:rPr>
              <w:t>并加盖公章</w:t>
            </w:r>
            <w:r>
              <w:rPr>
                <w:rFonts w:hint="eastAsia" w:ascii="宋体" w:hAnsi="宋体" w:cs="宋体"/>
                <w:color w:val="auto"/>
                <w:kern w:val="0"/>
                <w:sz w:val="24"/>
                <w:szCs w:val="24"/>
                <w:lang w:bidi="ar"/>
              </w:rPr>
              <w:t>，否则本项不得分。</w:t>
            </w:r>
          </w:p>
        </w:tc>
        <w:tc>
          <w:tcPr>
            <w:tcW w:w="848" w:type="dxa"/>
            <w:vAlign w:val="center"/>
          </w:tcPr>
          <w:p>
            <w:pPr>
              <w:widowControl/>
              <w:wordWrap w:val="0"/>
              <w:spacing w:line="360" w:lineRule="auto"/>
              <w:jc w:val="center"/>
              <w:rPr>
                <w:rStyle w:val="87"/>
                <w:rFonts w:hint="eastAsia"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hint="default" w:ascii="宋体" w:hAnsi="宋体" w:eastAsia="宋体"/>
                <w:bCs/>
                <w:color w:val="auto"/>
                <w:sz w:val="24"/>
                <w:lang w:val="en-US" w:eastAsia="zh-CN"/>
              </w:rPr>
            </w:pPr>
            <w:r>
              <w:rPr>
                <w:rFonts w:hint="eastAsia" w:ascii="宋体" w:hAnsi="宋体" w:cs="宋体"/>
                <w:color w:val="auto"/>
                <w:kern w:val="0"/>
                <w:sz w:val="24"/>
                <w:szCs w:val="24"/>
                <w:lang w:bidi="ar"/>
              </w:rPr>
              <w:t>1-17</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根据供应商拟派本项目的服务人员所在律师团队进行评价：（满分3分）</w:t>
            </w:r>
          </w:p>
          <w:p>
            <w:pPr>
              <w:widowControl/>
              <w:wordWrap w:val="0"/>
              <w:spacing w:line="360" w:lineRule="auto"/>
              <w:jc w:val="left"/>
              <w:rPr>
                <w:rFonts w:ascii="宋体" w:hAnsi="宋体" w:cs="宋体"/>
                <w:color w:val="auto"/>
                <w:sz w:val="24"/>
                <w:szCs w:val="24"/>
              </w:rPr>
            </w:pPr>
            <w:r>
              <w:rPr>
                <w:rFonts w:hint="eastAsia" w:ascii="宋体" w:hAnsi="宋体" w:cs="宋体"/>
                <w:color w:val="auto"/>
                <w:kern w:val="0"/>
                <w:sz w:val="24"/>
                <w:szCs w:val="24"/>
                <w:lang w:bidi="ar"/>
              </w:rPr>
              <w:t>供应商拟派的服务人员所在服务团队，有律师从业经历丰富，</w:t>
            </w:r>
            <w:r>
              <w:rPr>
                <w:rFonts w:hint="eastAsia" w:ascii="宋体" w:hAnsi="宋体" w:cs="宋体"/>
                <w:color w:val="auto"/>
                <w:sz w:val="24"/>
                <w:szCs w:val="24"/>
              </w:rPr>
              <w:t>担任过行政机关或事业单位常年法律顾问的，担任过1家得1分，满分3分。</w:t>
            </w:r>
          </w:p>
          <w:p>
            <w:pPr>
              <w:widowControl/>
              <w:wordWrap w:val="0"/>
              <w:spacing w:line="360" w:lineRule="auto"/>
              <w:jc w:val="left"/>
              <w:rPr>
                <w:rFonts w:ascii="宋体" w:hAnsi="宋体" w:cs="宋体"/>
                <w:b/>
                <w:bCs/>
                <w:color w:val="auto"/>
                <w:kern w:val="0"/>
                <w:sz w:val="24"/>
                <w:szCs w:val="24"/>
              </w:rPr>
            </w:pPr>
            <w:r>
              <w:rPr>
                <w:rFonts w:hint="eastAsia" w:ascii="宋体" w:hAnsi="宋体" w:cs="宋体"/>
                <w:b/>
                <w:bCs/>
                <w:color w:val="auto"/>
                <w:sz w:val="24"/>
                <w:szCs w:val="24"/>
              </w:rPr>
              <w:t>注：</w:t>
            </w:r>
            <w:r>
              <w:rPr>
                <w:rFonts w:hint="eastAsia" w:ascii="宋体" w:hAnsi="宋体" w:cs="宋体"/>
                <w:color w:val="auto"/>
                <w:sz w:val="24"/>
                <w:szCs w:val="24"/>
              </w:rPr>
              <w:t>供应商须提供相关证明材料</w:t>
            </w:r>
            <w:r>
              <w:rPr>
                <w:rFonts w:hint="eastAsia" w:ascii="宋体" w:hAnsi="宋体" w:cs="宋体"/>
                <w:color w:val="auto"/>
                <w:kern w:val="0"/>
                <w:sz w:val="24"/>
                <w:szCs w:val="24"/>
                <w:lang w:bidi="ar"/>
              </w:rPr>
              <w:t>及</w:t>
            </w:r>
            <w:r>
              <w:rPr>
                <w:rFonts w:hint="eastAsia" w:ascii="宋体" w:hAnsi="宋体" w:cs="宋体"/>
                <w:color w:val="auto"/>
                <w:kern w:val="0"/>
                <w:sz w:val="24"/>
                <w:szCs w:val="24"/>
                <w:lang w:val="en-US" w:eastAsia="zh-CN" w:bidi="ar"/>
              </w:rPr>
              <w:t>磋商截止</w:t>
            </w:r>
            <w:r>
              <w:rPr>
                <w:rFonts w:hint="eastAsia" w:ascii="宋体" w:hAnsi="宋体" w:cs="宋体"/>
                <w:color w:val="auto"/>
                <w:kern w:val="0"/>
                <w:sz w:val="24"/>
                <w:szCs w:val="24"/>
                <w:lang w:bidi="ar"/>
              </w:rPr>
              <w:t>前六个月任意一个月（</w:t>
            </w:r>
            <w:r>
              <w:rPr>
                <w:rFonts w:hint="eastAsia" w:ascii="宋体" w:hAnsi="宋体" w:cs="宋体"/>
                <w:color w:val="auto"/>
                <w:kern w:val="0"/>
                <w:sz w:val="24"/>
                <w:szCs w:val="24"/>
                <w:lang w:val="en-US" w:eastAsia="zh-CN" w:bidi="ar"/>
              </w:rPr>
              <w:t>磋商</w:t>
            </w:r>
            <w:r>
              <w:rPr>
                <w:rFonts w:hint="eastAsia" w:ascii="宋体" w:hAnsi="宋体" w:cs="宋体"/>
                <w:color w:val="auto"/>
                <w:kern w:val="0"/>
                <w:sz w:val="24"/>
                <w:szCs w:val="24"/>
                <w:lang w:bidi="ar"/>
              </w:rPr>
              <w:t>截止当月新成立的企业，尚未缴纳社保的，提供说明，视为社保资料符合要求）</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为其缴纳社会保险的证明材料</w:t>
            </w:r>
            <w:r>
              <w:rPr>
                <w:rFonts w:hint="eastAsia" w:ascii="宋体" w:hAnsi="宋体" w:cs="宋体"/>
                <w:color w:val="auto"/>
                <w:kern w:val="0"/>
                <w:sz w:val="24"/>
                <w:szCs w:val="24"/>
                <w:lang w:val="en-US" w:eastAsia="zh-CN" w:bidi="ar"/>
              </w:rPr>
              <w:t>并加盖公章</w:t>
            </w:r>
            <w:r>
              <w:rPr>
                <w:rFonts w:hint="eastAsia" w:ascii="宋体" w:hAnsi="宋体" w:cs="宋体"/>
                <w:color w:val="auto"/>
                <w:sz w:val="24"/>
                <w:szCs w:val="24"/>
              </w:rPr>
              <w:t>，否则本项不得分。</w:t>
            </w:r>
          </w:p>
        </w:tc>
        <w:tc>
          <w:tcPr>
            <w:tcW w:w="848" w:type="dxa"/>
            <w:vAlign w:val="center"/>
          </w:tcPr>
          <w:p>
            <w:pPr>
              <w:widowControl/>
              <w:wordWrap w:val="0"/>
              <w:spacing w:line="360" w:lineRule="auto"/>
              <w:jc w:val="center"/>
              <w:rPr>
                <w:rStyle w:val="87"/>
                <w:rFonts w:hint="eastAsia" w:ascii="宋体" w:hAnsi="宋体"/>
                <w:color w:val="auto"/>
                <w:sz w:val="24"/>
                <w:szCs w:val="24"/>
              </w:rPr>
            </w:pPr>
            <w:r>
              <w:rPr>
                <w:rFonts w:hint="eastAsia" w:ascii="宋体" w:hAnsi="宋体" w:cs="宋体"/>
                <w:color w:val="auto"/>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87" w:type="dxa"/>
            <w:gridSpan w:val="2"/>
            <w:vAlign w:val="center"/>
          </w:tcPr>
          <w:p>
            <w:pPr>
              <w:widowControl/>
              <w:wordWrap w:val="0"/>
              <w:spacing w:line="360" w:lineRule="auto"/>
              <w:jc w:val="center"/>
              <w:rPr>
                <w:rFonts w:hint="default" w:ascii="宋体" w:hAnsi="宋体"/>
                <w:bCs/>
                <w:color w:val="auto"/>
                <w:sz w:val="24"/>
                <w:lang w:val="en-US" w:eastAsia="zh-CN"/>
              </w:rPr>
            </w:pPr>
            <w:r>
              <w:rPr>
                <w:rFonts w:hint="eastAsia" w:ascii="宋体" w:hAnsi="宋体" w:cs="宋体"/>
                <w:color w:val="auto"/>
                <w:kern w:val="0"/>
                <w:sz w:val="24"/>
                <w:szCs w:val="24"/>
                <w:lang w:val="en-US" w:eastAsia="zh-CN" w:bidi="ar"/>
              </w:rPr>
              <w:t>1-18</w:t>
            </w:r>
          </w:p>
        </w:tc>
        <w:tc>
          <w:tcPr>
            <w:tcW w:w="7157" w:type="dxa"/>
            <w:gridSpan w:val="2"/>
            <w:vAlign w:val="center"/>
          </w:tcPr>
          <w:p>
            <w:pPr>
              <w:widowControl/>
              <w:wordWrap w:val="0"/>
              <w:spacing w:line="360" w:lineRule="auto"/>
              <w:jc w:val="left"/>
              <w:rPr>
                <w:rFonts w:ascii="宋体" w:hAnsi="宋体" w:cs="宋体"/>
                <w:b/>
                <w:bCs/>
                <w:color w:val="auto"/>
                <w:kern w:val="0"/>
                <w:sz w:val="24"/>
                <w:szCs w:val="24"/>
              </w:rPr>
            </w:pP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承诺为本项目服务人员购买律师执业责任险的得</w:t>
            </w:r>
            <w:r>
              <w:rPr>
                <w:rFonts w:hint="eastAsia" w:ascii="宋体" w:hAnsi="宋体" w:cs="宋体"/>
                <w:color w:val="auto"/>
                <w:kern w:val="0"/>
                <w:sz w:val="24"/>
                <w:szCs w:val="24"/>
                <w:lang w:eastAsia="zh-CN" w:bidi="ar"/>
              </w:rPr>
              <w:t>2</w:t>
            </w:r>
            <w:r>
              <w:rPr>
                <w:rFonts w:hint="eastAsia" w:ascii="宋体" w:hAnsi="宋体" w:cs="宋体"/>
                <w:color w:val="auto"/>
                <w:kern w:val="0"/>
                <w:sz w:val="24"/>
                <w:szCs w:val="24"/>
                <w:lang w:bidi="ar"/>
              </w:rPr>
              <w:t>分。</w:t>
            </w:r>
            <w:r>
              <w:rPr>
                <w:rFonts w:hint="eastAsia" w:ascii="宋体" w:hAnsi="宋体" w:cs="宋体"/>
                <w:b/>
                <w:bCs/>
                <w:color w:val="auto"/>
                <w:sz w:val="24"/>
                <w:szCs w:val="24"/>
              </w:rPr>
              <w:t>注：</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须提供相关承诺函</w:t>
            </w:r>
            <w:r>
              <w:rPr>
                <w:rFonts w:hint="eastAsia" w:ascii="宋体" w:hAnsi="宋体" w:cs="宋体"/>
                <w:color w:val="auto"/>
                <w:kern w:val="0"/>
                <w:sz w:val="24"/>
                <w:szCs w:val="24"/>
                <w:lang w:val="en-US" w:eastAsia="zh-CN" w:bidi="ar"/>
              </w:rPr>
              <w:t>并加盖公章</w:t>
            </w:r>
            <w:r>
              <w:rPr>
                <w:rFonts w:hint="eastAsia" w:ascii="宋体" w:hAnsi="宋体" w:cs="宋体"/>
                <w:color w:val="auto"/>
                <w:kern w:val="0"/>
                <w:sz w:val="24"/>
                <w:szCs w:val="24"/>
                <w:lang w:bidi="ar"/>
              </w:rPr>
              <w:t>，否则不得分。</w:t>
            </w:r>
          </w:p>
        </w:tc>
        <w:tc>
          <w:tcPr>
            <w:tcW w:w="848" w:type="dxa"/>
            <w:vAlign w:val="center"/>
          </w:tcPr>
          <w:p>
            <w:pPr>
              <w:widowControl/>
              <w:wordWrap w:val="0"/>
              <w:spacing w:line="360" w:lineRule="auto"/>
              <w:jc w:val="center"/>
              <w:rPr>
                <w:rStyle w:val="87"/>
                <w:rFonts w:hint="eastAsia" w:ascii="宋体" w:hAnsi="宋体"/>
                <w:color w:val="auto"/>
                <w:sz w:val="24"/>
                <w:szCs w:val="24"/>
              </w:rPr>
            </w:pPr>
            <w:r>
              <w:rPr>
                <w:rFonts w:hint="eastAsia" w:ascii="宋体" w:hAnsi="宋体" w:cs="宋体"/>
                <w:color w:val="auto"/>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dxa"/>
            <w:gridSpan w:val="2"/>
            <w:vAlign w:val="center"/>
          </w:tcPr>
          <w:p>
            <w:pPr>
              <w:widowControl/>
              <w:wordWrap w:val="0"/>
              <w:spacing w:line="360" w:lineRule="auto"/>
              <w:jc w:val="center"/>
              <w:rPr>
                <w:rFonts w:hint="default" w:ascii="宋体" w:hAnsi="宋体"/>
                <w:bCs/>
                <w:color w:val="auto"/>
                <w:sz w:val="24"/>
                <w:lang w:val="en-US" w:eastAsia="zh-CN"/>
              </w:rPr>
            </w:pPr>
            <w:r>
              <w:rPr>
                <w:rFonts w:hint="eastAsia" w:ascii="宋体" w:hAnsi="宋体" w:cs="宋体"/>
                <w:color w:val="auto"/>
                <w:kern w:val="0"/>
                <w:sz w:val="24"/>
                <w:szCs w:val="24"/>
                <w:lang w:val="en-US" w:eastAsia="zh-CN" w:bidi="ar"/>
              </w:rPr>
              <w:t>1-19</w:t>
            </w:r>
          </w:p>
        </w:tc>
        <w:tc>
          <w:tcPr>
            <w:tcW w:w="7157" w:type="dxa"/>
            <w:gridSpan w:val="2"/>
            <w:vAlign w:val="center"/>
          </w:tcPr>
          <w:p>
            <w:pPr>
              <w:widowControl/>
              <w:wordWrap w:val="0"/>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承诺为本项目服务人员购买人身意外保险的得</w:t>
            </w:r>
            <w:r>
              <w:rPr>
                <w:rFonts w:hint="eastAsia" w:ascii="宋体" w:hAnsi="宋体" w:cs="宋体"/>
                <w:color w:val="auto"/>
                <w:kern w:val="0"/>
                <w:sz w:val="24"/>
                <w:szCs w:val="24"/>
                <w:lang w:eastAsia="zh-CN" w:bidi="ar"/>
              </w:rPr>
              <w:t>2</w:t>
            </w:r>
            <w:r>
              <w:rPr>
                <w:rFonts w:hint="eastAsia" w:ascii="宋体" w:hAnsi="宋体" w:cs="宋体"/>
                <w:color w:val="auto"/>
                <w:kern w:val="0"/>
                <w:sz w:val="24"/>
                <w:szCs w:val="24"/>
                <w:lang w:bidi="ar"/>
              </w:rPr>
              <w:t>分。</w:t>
            </w:r>
          </w:p>
          <w:p>
            <w:pPr>
              <w:widowControl/>
              <w:wordWrap w:val="0"/>
              <w:spacing w:line="360" w:lineRule="auto"/>
              <w:jc w:val="left"/>
              <w:rPr>
                <w:rFonts w:hint="eastAsia" w:ascii="宋体" w:hAnsi="宋体" w:cs="宋体"/>
                <w:color w:val="auto"/>
                <w:kern w:val="0"/>
                <w:sz w:val="24"/>
                <w:szCs w:val="24"/>
                <w:lang w:val="en-US" w:eastAsia="zh-CN" w:bidi="ar"/>
              </w:rPr>
            </w:pPr>
            <w:r>
              <w:rPr>
                <w:rFonts w:hint="eastAsia" w:ascii="宋体" w:hAnsi="宋体" w:cs="宋体"/>
                <w:b/>
                <w:bCs/>
                <w:color w:val="auto"/>
                <w:sz w:val="24"/>
                <w:szCs w:val="24"/>
              </w:rPr>
              <w:t>注：</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须提供相关承诺函</w:t>
            </w:r>
            <w:r>
              <w:rPr>
                <w:rFonts w:hint="eastAsia" w:ascii="宋体" w:hAnsi="宋体" w:cs="宋体"/>
                <w:color w:val="auto"/>
                <w:kern w:val="0"/>
                <w:sz w:val="24"/>
                <w:szCs w:val="24"/>
                <w:lang w:val="en-US" w:eastAsia="zh-CN" w:bidi="ar"/>
              </w:rPr>
              <w:t>并加盖公章</w:t>
            </w:r>
            <w:r>
              <w:rPr>
                <w:rFonts w:hint="eastAsia" w:ascii="宋体" w:hAnsi="宋体" w:cs="宋体"/>
                <w:color w:val="auto"/>
                <w:kern w:val="0"/>
                <w:sz w:val="24"/>
                <w:szCs w:val="24"/>
                <w:lang w:bidi="ar"/>
              </w:rPr>
              <w:t>，否则不得分。</w:t>
            </w:r>
          </w:p>
        </w:tc>
        <w:tc>
          <w:tcPr>
            <w:tcW w:w="848" w:type="dxa"/>
            <w:vAlign w:val="center"/>
          </w:tcPr>
          <w:p>
            <w:pPr>
              <w:widowControl/>
              <w:wordWrap w:val="0"/>
              <w:spacing w:line="360" w:lineRule="auto"/>
              <w:jc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8792" w:type="dxa"/>
            <w:gridSpan w:val="5"/>
            <w:vAlign w:val="center"/>
          </w:tcPr>
          <w:p>
            <w:pPr>
              <w:wordWrap w:val="0"/>
              <w:spacing w:line="360" w:lineRule="auto"/>
              <w:jc w:val="center"/>
              <w:rPr>
                <w:rFonts w:ascii="宋体" w:hAnsi="宋体" w:cs="Arial"/>
                <w:b/>
                <w:color w:val="auto"/>
                <w:sz w:val="24"/>
                <w:szCs w:val="24"/>
              </w:rPr>
            </w:pPr>
            <w:r>
              <w:rPr>
                <w:rFonts w:hint="eastAsia" w:ascii="宋体" w:hAnsi="宋体" w:cs="Arial"/>
                <w:b/>
                <w:color w:val="auto"/>
                <w:sz w:val="24"/>
                <w:szCs w:val="24"/>
              </w:rPr>
              <w:t>2、</w:t>
            </w:r>
            <w:r>
              <w:rPr>
                <w:rFonts w:hint="eastAsia" w:ascii="宋体" w:hAnsi="宋体"/>
                <w:b/>
                <w:color w:val="auto"/>
                <w:sz w:val="24"/>
                <w:szCs w:val="24"/>
              </w:rPr>
              <w:t>商务因素（满分2</w:t>
            </w:r>
            <w:r>
              <w:rPr>
                <w:rFonts w:hint="eastAsia" w:ascii="宋体" w:hAnsi="宋体"/>
                <w:b/>
                <w:color w:val="auto"/>
                <w:sz w:val="24"/>
                <w:szCs w:val="24"/>
                <w:lang w:val="en-US" w:eastAsia="zh-CN"/>
              </w:rPr>
              <w:t>0</w:t>
            </w:r>
            <w:r>
              <w:rPr>
                <w:rFonts w:hint="eastAsia" w:ascii="宋体" w:hAnsi="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2-1</w:t>
            </w:r>
          </w:p>
        </w:tc>
        <w:tc>
          <w:tcPr>
            <w:tcW w:w="7157" w:type="dxa"/>
            <w:gridSpan w:val="2"/>
            <w:vAlign w:val="center"/>
          </w:tcPr>
          <w:p>
            <w:pPr>
              <w:widowControl/>
              <w:wordWrap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根据供应商提供的书面承诺进行评价：</w:t>
            </w:r>
            <w:r>
              <w:rPr>
                <w:rFonts w:hint="eastAsia" w:ascii="宋体" w:hAnsi="宋体" w:cs="宋体"/>
                <w:b/>
                <w:bCs/>
                <w:color w:val="auto"/>
                <w:kern w:val="0"/>
                <w:sz w:val="24"/>
                <w:szCs w:val="24"/>
                <w:lang w:bidi="ar"/>
              </w:rPr>
              <w:t>（满分3分）</w:t>
            </w:r>
          </w:p>
          <w:p>
            <w:pPr>
              <w:widowControl/>
              <w:wordWrap w:val="0"/>
              <w:spacing w:line="360" w:lineRule="auto"/>
              <w:jc w:val="lef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lang w:bidi="ar"/>
              </w:rPr>
              <w:t>须</w:t>
            </w:r>
            <w:r>
              <w:rPr>
                <w:rFonts w:hint="eastAsia" w:ascii="宋体" w:hAnsi="宋体" w:cs="宋体"/>
                <w:color w:val="auto"/>
                <w:sz w:val="24"/>
                <w:szCs w:val="24"/>
              </w:rPr>
              <w:t>进行书面承诺：自20</w:t>
            </w:r>
            <w:r>
              <w:rPr>
                <w:rFonts w:hint="eastAsia" w:ascii="宋体" w:hAnsi="宋体" w:cs="宋体"/>
                <w:color w:val="auto"/>
                <w:sz w:val="24"/>
                <w:szCs w:val="24"/>
                <w:lang w:val="en-US" w:eastAsia="zh-CN"/>
              </w:rPr>
              <w:t>20</w:t>
            </w:r>
            <w:r>
              <w:rPr>
                <w:rFonts w:hint="eastAsia" w:ascii="宋体" w:hAnsi="宋体" w:cs="宋体"/>
                <w:color w:val="auto"/>
                <w:sz w:val="24"/>
                <w:szCs w:val="24"/>
              </w:rPr>
              <w:t>年1月1日以来，未收到行政主管部门处罚的得3分。</w:t>
            </w:r>
          </w:p>
          <w:p>
            <w:pPr>
              <w:widowControl/>
              <w:wordWrap w:val="0"/>
              <w:spacing w:line="360" w:lineRule="auto"/>
              <w:jc w:val="left"/>
              <w:rPr>
                <w:b/>
                <w:bCs/>
                <w:color w:val="auto"/>
                <w:szCs w:val="24"/>
              </w:rPr>
            </w:pPr>
            <w:r>
              <w:rPr>
                <w:rFonts w:hint="eastAsia" w:ascii="宋体" w:hAnsi="宋体" w:cs="宋体"/>
                <w:b/>
                <w:bCs/>
                <w:color w:val="auto"/>
                <w:sz w:val="24"/>
                <w:szCs w:val="24"/>
              </w:rPr>
              <w:t>注：</w:t>
            </w:r>
            <w:r>
              <w:rPr>
                <w:rFonts w:hint="eastAsia" w:ascii="宋体" w:hAnsi="宋体" w:cs="宋体"/>
                <w:color w:val="auto"/>
                <w:sz w:val="24"/>
                <w:szCs w:val="24"/>
              </w:rPr>
              <w:t>承诺函格式自拟</w:t>
            </w:r>
            <w:r>
              <w:rPr>
                <w:rFonts w:hint="eastAsia" w:ascii="宋体" w:hAnsi="宋体" w:cs="宋体"/>
                <w:color w:val="auto"/>
                <w:sz w:val="24"/>
                <w:szCs w:val="24"/>
                <w:lang w:val="en-US" w:eastAsia="zh-CN"/>
              </w:rPr>
              <w:t>并加盖公章</w:t>
            </w:r>
            <w:r>
              <w:rPr>
                <w:rFonts w:hint="eastAsia" w:ascii="宋体" w:hAnsi="宋体" w:cs="宋体"/>
                <w:color w:val="auto"/>
                <w:sz w:val="24"/>
                <w:szCs w:val="24"/>
              </w:rPr>
              <w:t>，未承诺的本项不得分。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2-2</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根据供应商获得服务好评情况进行评价：（满分3分）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供应商团队律师自20</w:t>
            </w:r>
            <w:r>
              <w:rPr>
                <w:rFonts w:hint="eastAsia" w:ascii="宋体" w:hAnsi="宋体" w:cs="宋体"/>
                <w:color w:val="auto"/>
                <w:kern w:val="0"/>
                <w:sz w:val="24"/>
                <w:szCs w:val="24"/>
                <w:lang w:val="en-US" w:eastAsia="zh-CN" w:bidi="ar"/>
              </w:rPr>
              <w:t>20</w:t>
            </w:r>
            <w:r>
              <w:rPr>
                <w:rFonts w:hint="eastAsia" w:ascii="宋体" w:hAnsi="宋体" w:cs="宋体"/>
                <w:color w:val="auto"/>
                <w:kern w:val="0"/>
                <w:sz w:val="24"/>
                <w:szCs w:val="24"/>
                <w:lang w:bidi="ar"/>
              </w:rPr>
              <w:t>年1月1日以来（以合同签订时间为准），同类服务项目获得服务单位好评的情况进行评价：每提供一份服务单位出具的服务满意度评价结果为满意的证明得1.5分，满分3分。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供应商须在报价文件中提供该业绩项目以下资料复印件（原件备查）：（1）采购合同文本复印件；（2）服务单位满意度证明。</w:t>
            </w:r>
          </w:p>
          <w:p>
            <w:pPr>
              <w:widowControl/>
              <w:wordWrap w:val="0"/>
              <w:spacing w:line="360" w:lineRule="auto"/>
              <w:jc w:val="left"/>
              <w:rPr>
                <w:b/>
                <w:bCs/>
                <w:color w:val="auto"/>
                <w:szCs w:val="24"/>
              </w:rPr>
            </w:pPr>
            <w:r>
              <w:rPr>
                <w:rFonts w:hint="eastAsia" w:ascii="宋体" w:hAnsi="宋体" w:cs="宋体"/>
                <w:b/>
                <w:bCs/>
                <w:color w:val="auto"/>
                <w:kern w:val="0"/>
                <w:sz w:val="24"/>
                <w:szCs w:val="24"/>
                <w:lang w:bidi="ar"/>
              </w:rPr>
              <w:t>说明：</w:t>
            </w:r>
            <w:r>
              <w:rPr>
                <w:rFonts w:hint="eastAsia" w:ascii="宋体" w:hAnsi="宋体" w:cs="宋体"/>
                <w:color w:val="auto"/>
                <w:kern w:val="0"/>
                <w:sz w:val="24"/>
                <w:szCs w:val="24"/>
                <w:lang w:bidi="ar"/>
              </w:rPr>
              <w:t>若未能按以上要求提供该项评价内容完整资料的，</w:t>
            </w:r>
            <w:r>
              <w:rPr>
                <w:rFonts w:hint="eastAsia" w:ascii="宋体" w:hAnsi="宋体" w:cs="宋体"/>
                <w:color w:val="auto"/>
                <w:kern w:val="0"/>
                <w:sz w:val="24"/>
                <w:szCs w:val="24"/>
                <w:lang w:eastAsia="zh-CN" w:bidi="ar"/>
              </w:rPr>
              <w:t>磋商小组</w:t>
            </w:r>
            <w:r>
              <w:rPr>
                <w:rFonts w:hint="eastAsia" w:ascii="宋体" w:hAnsi="宋体" w:cs="宋体"/>
                <w:color w:val="auto"/>
                <w:kern w:val="0"/>
                <w:sz w:val="24"/>
                <w:szCs w:val="24"/>
                <w:lang w:bidi="ar"/>
              </w:rPr>
              <w:t>对该评价内容将不予采信。</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2-3</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根据供应商提供的相关业绩情况进行评价：（满分3分）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供应商团队律师自20</w:t>
            </w:r>
            <w:r>
              <w:rPr>
                <w:rFonts w:hint="eastAsia" w:ascii="宋体" w:hAnsi="宋体" w:cs="宋体"/>
                <w:color w:val="auto"/>
                <w:kern w:val="0"/>
                <w:sz w:val="24"/>
                <w:szCs w:val="24"/>
                <w:lang w:val="en-US" w:eastAsia="zh-CN" w:bidi="ar"/>
              </w:rPr>
              <w:t>20</w:t>
            </w:r>
            <w:r>
              <w:rPr>
                <w:rFonts w:hint="eastAsia" w:ascii="宋体" w:hAnsi="宋体" w:cs="宋体"/>
                <w:color w:val="auto"/>
                <w:kern w:val="0"/>
                <w:sz w:val="24"/>
                <w:szCs w:val="24"/>
                <w:lang w:bidi="ar"/>
              </w:rPr>
              <w:t>年1月1日以来（以合同签订时间为准）所提供的同类服务项目业绩进行评价：每提供一个有效项目业绩的得1.5分，满分3分。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须提供业绩的资料复印件，应包含：（1）中标/成交公告（提供相关网站中标/成交公告的下载网页及其地址）；（2）中标/成交通知书复印件；（3）采购合同文本复印件；（4）能够证明该业绩项目已经采购人验收合格的相关证明文件复印件。</w:t>
            </w:r>
          </w:p>
          <w:p>
            <w:pPr>
              <w:widowControl/>
              <w:wordWrap w:val="0"/>
              <w:spacing w:line="360" w:lineRule="auto"/>
              <w:jc w:val="left"/>
              <w:rPr>
                <w:b/>
                <w:bCs/>
                <w:color w:val="auto"/>
                <w:szCs w:val="24"/>
              </w:rPr>
            </w:pPr>
            <w:r>
              <w:rPr>
                <w:rFonts w:hint="eastAsia" w:ascii="宋体" w:hAnsi="宋体" w:cs="宋体"/>
                <w:b/>
                <w:bCs/>
                <w:color w:val="auto"/>
                <w:kern w:val="0"/>
                <w:sz w:val="24"/>
                <w:szCs w:val="24"/>
                <w:lang w:bidi="ar"/>
              </w:rPr>
              <w:t>说明：</w:t>
            </w:r>
            <w:r>
              <w:rPr>
                <w:rFonts w:hint="eastAsia" w:ascii="宋体" w:hAnsi="宋体" w:cs="宋体"/>
                <w:color w:val="auto"/>
                <w:kern w:val="0"/>
                <w:sz w:val="24"/>
                <w:szCs w:val="24"/>
                <w:lang w:bidi="ar"/>
              </w:rPr>
              <w:t>证明材料要求四项齐全。如未按以上要求提供完整资料的业绩不予计分。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2-4</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根据供应商团队律师获得相关荣誉及奖项进行评价：（满分3分）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供应商每提供一个行业主管部门</w:t>
            </w:r>
            <w:r>
              <w:rPr>
                <w:rFonts w:hint="eastAsia" w:ascii="宋体" w:hAnsi="宋体" w:cs="宋体"/>
                <w:color w:val="auto"/>
                <w:kern w:val="0"/>
                <w:sz w:val="24"/>
                <w:szCs w:val="24"/>
                <w:lang w:val="en-US" w:eastAsia="zh-CN" w:bidi="ar"/>
              </w:rPr>
              <w:t>或</w:t>
            </w:r>
            <w:r>
              <w:rPr>
                <w:rFonts w:hint="eastAsia" w:ascii="宋体" w:hAnsi="宋体" w:cs="宋体"/>
                <w:color w:val="auto"/>
                <w:kern w:val="0"/>
                <w:sz w:val="24"/>
                <w:szCs w:val="24"/>
                <w:lang w:bidi="ar"/>
              </w:rPr>
              <w:t>行业协会评定荣誉或奖项得1分，满分3分。</w:t>
            </w:r>
          </w:p>
          <w:p>
            <w:pPr>
              <w:widowControl/>
              <w:wordWrap w:val="0"/>
              <w:spacing w:line="360" w:lineRule="auto"/>
              <w:jc w:val="left"/>
              <w:rPr>
                <w:b/>
                <w:bCs/>
                <w:color w:val="auto"/>
                <w:szCs w:val="24"/>
              </w:rPr>
            </w:pPr>
            <w:r>
              <w:rPr>
                <w:rFonts w:hint="eastAsia" w:ascii="宋体" w:hAnsi="宋体" w:cs="宋体"/>
                <w:b/>
                <w:bCs/>
                <w:color w:val="auto"/>
                <w:kern w:val="0"/>
                <w:sz w:val="24"/>
                <w:szCs w:val="24"/>
                <w:lang w:bidi="ar"/>
              </w:rPr>
              <w:t>注：</w:t>
            </w:r>
            <w:r>
              <w:rPr>
                <w:rFonts w:hint="eastAsia" w:ascii="宋体" w:hAnsi="宋体" w:cs="宋体"/>
                <w:color w:val="auto"/>
                <w:kern w:val="0"/>
                <w:sz w:val="24"/>
                <w:szCs w:val="24"/>
                <w:lang w:bidi="ar"/>
              </w:rPr>
              <w:t>供应商</w:t>
            </w:r>
            <w:r>
              <w:rPr>
                <w:rFonts w:hint="eastAsia" w:ascii="宋体" w:hAnsi="宋体" w:cs="宋体"/>
                <w:color w:val="auto"/>
                <w:sz w:val="24"/>
                <w:szCs w:val="24"/>
                <w:lang w:bidi="ar"/>
              </w:rPr>
              <w:t>须</w:t>
            </w:r>
            <w:r>
              <w:rPr>
                <w:rFonts w:hint="eastAsia" w:ascii="宋体" w:hAnsi="宋体" w:cs="宋体"/>
                <w:color w:val="auto"/>
                <w:kern w:val="0"/>
                <w:sz w:val="24"/>
                <w:szCs w:val="24"/>
                <w:lang w:bidi="ar"/>
              </w:rPr>
              <w:t>提供相关</w:t>
            </w:r>
            <w:ins w:id="40" w:author="FYD" w:date="2023-05-25T16:20:48Z">
              <w:r>
                <w:rPr>
                  <w:rFonts w:hint="eastAsia" w:ascii="宋体" w:hAnsi="宋体" w:cs="宋体"/>
                  <w:color w:val="auto"/>
                  <w:kern w:val="0"/>
                  <w:sz w:val="24"/>
                  <w:szCs w:val="24"/>
                  <w:lang w:val="en-US" w:eastAsia="zh-CN" w:bidi="ar"/>
                </w:rPr>
                <w:t>证明材料</w:t>
              </w:r>
            </w:ins>
            <w:r>
              <w:rPr>
                <w:rFonts w:hint="eastAsia" w:ascii="宋体" w:hAnsi="宋体" w:cs="宋体"/>
                <w:color w:val="auto"/>
                <w:kern w:val="0"/>
                <w:sz w:val="24"/>
                <w:szCs w:val="24"/>
                <w:lang w:bidi="ar"/>
              </w:rPr>
              <w:t>有效复印件并加盖公章，否则本项不得分。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2-5</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根据供应商团队律师持有行政主管部门评定的职称进行评价：（满分3分）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供应商团队律师持有：</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①四级律师职称，每人（本）加0.5分；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②三级律师职称，每人（本）加1分；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③二级律师职称，每人（本）加1.5分；</w:t>
            </w:r>
          </w:p>
          <w:p>
            <w:pPr>
              <w:widowControl/>
              <w:wordWrap w:val="0"/>
              <w:spacing w:line="360" w:lineRule="auto"/>
              <w:jc w:val="left"/>
              <w:rPr>
                <w:rFonts w:ascii="宋体" w:hAnsi="宋体" w:cs="宋体"/>
                <w:color w:val="auto"/>
                <w:kern w:val="0"/>
                <w:sz w:val="24"/>
                <w:szCs w:val="24"/>
                <w:lang w:bidi="ar"/>
              </w:rPr>
            </w:pPr>
            <w:r>
              <w:rPr>
                <w:rFonts w:hint="eastAsia" w:ascii="宋体" w:hAnsi="宋体" w:cs="宋体"/>
                <w:color w:val="auto"/>
                <w:kern w:val="0"/>
                <w:sz w:val="24"/>
                <w:szCs w:val="24"/>
                <w:lang w:bidi="ar"/>
              </w:rPr>
              <w:t>④一级律师职称，每人（本）加2分；</w:t>
            </w:r>
          </w:p>
          <w:p>
            <w:pPr>
              <w:widowControl/>
              <w:wordWrap w:val="0"/>
              <w:spacing w:line="360" w:lineRule="auto"/>
              <w:jc w:val="left"/>
              <w:rPr>
                <w:b/>
                <w:bCs/>
                <w:color w:val="auto"/>
                <w:szCs w:val="24"/>
              </w:rPr>
            </w:pPr>
            <w:r>
              <w:rPr>
                <w:rFonts w:hint="eastAsia" w:ascii="宋体" w:hAnsi="宋体" w:cs="宋体"/>
                <w:b/>
                <w:bCs/>
                <w:color w:val="auto"/>
                <w:kern w:val="0"/>
                <w:sz w:val="24"/>
                <w:szCs w:val="24"/>
                <w:lang w:bidi="ar"/>
              </w:rPr>
              <w:t>注：</w:t>
            </w:r>
            <w:r>
              <w:rPr>
                <w:rFonts w:hint="eastAsia" w:ascii="宋体" w:hAnsi="宋体" w:cs="宋体"/>
                <w:color w:val="auto"/>
                <w:kern w:val="0"/>
                <w:sz w:val="24"/>
                <w:szCs w:val="24"/>
                <w:lang w:bidi="ar"/>
              </w:rPr>
              <w:t>该项满分</w:t>
            </w:r>
            <w:r>
              <w:rPr>
                <w:rFonts w:ascii="宋体" w:hAnsi="宋体" w:cs="宋体"/>
                <w:color w:val="auto"/>
                <w:kern w:val="0"/>
                <w:sz w:val="24"/>
                <w:szCs w:val="24"/>
                <w:lang w:bidi="ar"/>
              </w:rPr>
              <w:t>3</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须提供律师职称证书及</w:t>
            </w:r>
            <w:r>
              <w:rPr>
                <w:rFonts w:hint="eastAsia" w:ascii="宋体" w:hAnsi="宋体" w:cs="宋体"/>
                <w:color w:val="auto"/>
                <w:kern w:val="0"/>
                <w:sz w:val="24"/>
                <w:szCs w:val="24"/>
                <w:lang w:val="en-US" w:eastAsia="zh-CN" w:bidi="ar"/>
              </w:rPr>
              <w:t>磋商截止</w:t>
            </w:r>
            <w:r>
              <w:rPr>
                <w:rFonts w:hint="eastAsia" w:ascii="宋体" w:hAnsi="宋体" w:cs="宋体"/>
                <w:color w:val="auto"/>
                <w:kern w:val="0"/>
                <w:sz w:val="24"/>
                <w:szCs w:val="24"/>
                <w:lang w:bidi="ar"/>
              </w:rPr>
              <w:t>前六个月任意一个月（</w:t>
            </w:r>
            <w:r>
              <w:rPr>
                <w:rFonts w:hint="eastAsia" w:ascii="宋体" w:hAnsi="宋体" w:cs="宋体"/>
                <w:color w:val="auto"/>
                <w:kern w:val="0"/>
                <w:sz w:val="24"/>
                <w:szCs w:val="24"/>
                <w:lang w:val="en-US" w:eastAsia="zh-CN" w:bidi="ar"/>
              </w:rPr>
              <w:t>磋商</w:t>
            </w:r>
            <w:r>
              <w:rPr>
                <w:rFonts w:hint="eastAsia" w:ascii="宋体" w:hAnsi="宋体" w:cs="宋体"/>
                <w:color w:val="auto"/>
                <w:kern w:val="0"/>
                <w:sz w:val="24"/>
                <w:szCs w:val="24"/>
                <w:lang w:bidi="ar"/>
              </w:rPr>
              <w:t>截止当月新成立的企业，尚未缴纳社保的，提供说明，视为社保资料符合要求）</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为其缴纳社会保险的证明材料并加盖公章，否则本项不得分。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2-6</w:t>
            </w:r>
          </w:p>
        </w:tc>
        <w:tc>
          <w:tcPr>
            <w:tcW w:w="7157" w:type="dxa"/>
            <w:gridSpan w:val="2"/>
            <w:vAlign w:val="center"/>
          </w:tcPr>
          <w:p>
            <w:pPr>
              <w:widowControl/>
              <w:wordWrap w:val="0"/>
              <w:spacing w:line="360" w:lineRule="auto"/>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根据供</w:t>
            </w:r>
            <w:r>
              <w:rPr>
                <w:rFonts w:hint="eastAsia" w:ascii="宋体" w:hAnsi="宋体" w:cs="宋体"/>
                <w:b/>
                <w:bCs/>
                <w:color w:val="auto"/>
                <w:kern w:val="0"/>
                <w:sz w:val="24"/>
                <w:szCs w:val="24"/>
                <w:highlight w:val="none"/>
                <w:lang w:bidi="ar"/>
              </w:rPr>
              <w:t>应商拟派本项目的</w:t>
            </w:r>
            <w:ins w:id="41" w:author="FYD" w:date="2023-05-25T16:21:17Z">
              <w:r>
                <w:rPr>
                  <w:rFonts w:hint="eastAsia" w:ascii="宋体" w:hAnsi="宋体" w:cs="宋体"/>
                  <w:b/>
                  <w:bCs/>
                  <w:color w:val="auto"/>
                  <w:kern w:val="0"/>
                  <w:sz w:val="24"/>
                  <w:szCs w:val="24"/>
                  <w:highlight w:val="none"/>
                  <w:lang w:val="en-US" w:eastAsia="zh-CN" w:bidi="ar"/>
                </w:rPr>
                <w:t>驻点</w:t>
              </w:r>
            </w:ins>
            <w:r>
              <w:rPr>
                <w:rFonts w:hint="eastAsia" w:ascii="宋体" w:hAnsi="宋体" w:cs="宋体"/>
                <w:b/>
                <w:bCs/>
                <w:color w:val="auto"/>
                <w:kern w:val="0"/>
                <w:sz w:val="24"/>
                <w:szCs w:val="24"/>
                <w:highlight w:val="none"/>
                <w:lang w:bidi="ar"/>
              </w:rPr>
              <w:t>服务人员进行评价：（满分3分）</w:t>
            </w:r>
          </w:p>
          <w:p>
            <w:pPr>
              <w:widowControl/>
              <w:wordWrap w:val="0"/>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供应商拟派的服务人员</w:t>
            </w:r>
            <w:r>
              <w:rPr>
                <w:rFonts w:hint="eastAsia" w:ascii="宋体" w:hAnsi="宋体" w:cs="宋体"/>
                <w:color w:val="auto"/>
                <w:sz w:val="24"/>
                <w:szCs w:val="24"/>
                <w:highlight w:val="none"/>
              </w:rPr>
              <w:t>具备全日制硕士学历（法学或法律专业）的，每派1名得1.5分，满分3分。</w:t>
            </w:r>
          </w:p>
          <w:p>
            <w:pPr>
              <w:widowControl/>
              <w:wordWrap w:val="0"/>
              <w:spacing w:line="360" w:lineRule="auto"/>
              <w:jc w:val="left"/>
              <w:rPr>
                <w:b/>
                <w:bCs/>
                <w:color w:val="auto"/>
                <w:szCs w:val="24"/>
              </w:rPr>
            </w:pPr>
            <w:r>
              <w:rPr>
                <w:rFonts w:hint="eastAsia" w:ascii="宋体" w:hAnsi="宋体"/>
                <w:b/>
                <w:bCs/>
                <w:color w:val="auto"/>
                <w:sz w:val="24"/>
                <w:szCs w:val="24"/>
                <w:highlight w:val="none"/>
                <w:lang w:bidi="ar"/>
              </w:rPr>
              <w:t>注：</w:t>
            </w:r>
            <w:r>
              <w:rPr>
                <w:rFonts w:hint="eastAsia" w:ascii="宋体" w:hAnsi="宋体"/>
                <w:color w:val="auto"/>
                <w:sz w:val="24"/>
                <w:szCs w:val="24"/>
                <w:highlight w:val="none"/>
                <w:lang w:bidi="ar"/>
              </w:rPr>
              <w:t>供应商须提供相关人员的（1）学历证书</w:t>
            </w:r>
            <w:ins w:id="42" w:author="FYD" w:date="2023-05-25T16:21:02Z">
              <w:r>
                <w:rPr>
                  <w:rFonts w:hint="eastAsia" w:ascii="宋体" w:hAnsi="宋体"/>
                  <w:color w:val="auto"/>
                  <w:sz w:val="24"/>
                  <w:szCs w:val="24"/>
                  <w:highlight w:val="none"/>
                  <w:lang w:val="en-US" w:eastAsia="zh-CN" w:bidi="ar"/>
                </w:rPr>
                <w:t>复印件</w:t>
              </w:r>
            </w:ins>
            <w:r>
              <w:rPr>
                <w:rFonts w:hint="eastAsia" w:ascii="宋体" w:hAnsi="宋体"/>
                <w:color w:val="auto"/>
                <w:sz w:val="24"/>
                <w:szCs w:val="24"/>
                <w:lang w:bidi="ar"/>
              </w:rPr>
              <w:t>；（2）身份证复印件</w:t>
            </w:r>
            <w:r>
              <w:rPr>
                <w:rFonts w:hint="eastAsia" w:ascii="宋体" w:hAnsi="宋体"/>
                <w:color w:val="auto"/>
                <w:sz w:val="24"/>
                <w:szCs w:val="24"/>
                <w:lang w:val="en-US" w:eastAsia="zh-CN" w:bidi="ar"/>
              </w:rPr>
              <w:t>（3）</w:t>
            </w:r>
            <w:r>
              <w:rPr>
                <w:rFonts w:hint="eastAsia" w:ascii="宋体" w:hAnsi="宋体"/>
                <w:color w:val="auto"/>
                <w:sz w:val="24"/>
                <w:szCs w:val="24"/>
                <w:lang w:bidi="ar"/>
              </w:rPr>
              <w:t>法律职业资格证书</w:t>
            </w:r>
            <w:r>
              <w:rPr>
                <w:rFonts w:hint="eastAsia" w:ascii="宋体" w:hAnsi="宋体"/>
                <w:color w:val="auto"/>
                <w:sz w:val="24"/>
                <w:szCs w:val="24"/>
                <w:lang w:val="en-US" w:eastAsia="zh-CN" w:bidi="ar"/>
              </w:rPr>
              <w:t>复印件或者</w:t>
            </w:r>
            <w:r>
              <w:rPr>
                <w:rFonts w:hint="eastAsia" w:ascii="宋体" w:hAnsi="宋体"/>
                <w:color w:val="auto"/>
                <w:sz w:val="24"/>
                <w:szCs w:val="24"/>
                <w:lang w:bidi="ar"/>
              </w:rPr>
              <w:t>法律职业资格</w:t>
            </w:r>
            <w:r>
              <w:rPr>
                <w:rFonts w:hint="eastAsia" w:ascii="宋体" w:hAnsi="宋体"/>
                <w:color w:val="auto"/>
                <w:sz w:val="24"/>
                <w:szCs w:val="24"/>
                <w:lang w:val="en-US" w:eastAsia="zh-CN" w:bidi="ar"/>
              </w:rPr>
              <w:t>考试成绩合格的证明材料</w:t>
            </w:r>
            <w:r>
              <w:rPr>
                <w:rFonts w:hint="eastAsia" w:ascii="宋体" w:hAnsi="宋体"/>
                <w:color w:val="auto"/>
                <w:sz w:val="24"/>
                <w:szCs w:val="24"/>
                <w:lang w:bidi="ar"/>
              </w:rPr>
              <w:t>；</w:t>
            </w:r>
            <w:r>
              <w:rPr>
                <w:rFonts w:hint="eastAsia" w:ascii="宋体" w:hAnsi="宋体"/>
                <w:color w:val="auto"/>
                <w:sz w:val="24"/>
                <w:szCs w:val="24"/>
                <w:lang w:val="en-US" w:eastAsia="zh-CN" w:bidi="ar"/>
              </w:rPr>
              <w:t>上述材料缺一不可，</w:t>
            </w:r>
            <w:r>
              <w:rPr>
                <w:rFonts w:hint="eastAsia" w:ascii="宋体" w:hAnsi="宋体"/>
                <w:color w:val="auto"/>
                <w:sz w:val="24"/>
                <w:szCs w:val="24"/>
                <w:lang w:bidi="ar"/>
              </w:rPr>
              <w:t>否则本项不得分</w:t>
            </w:r>
            <w:r>
              <w:rPr>
                <w:rFonts w:hint="eastAsia" w:ascii="宋体" w:hAnsi="宋体"/>
                <w:color w:val="auto"/>
                <w:szCs w:val="24"/>
                <w:lang w:bidi="ar"/>
              </w:rPr>
              <w:t>。</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87" w:type="dxa"/>
            <w:gridSpan w:val="2"/>
            <w:vAlign w:val="center"/>
          </w:tcPr>
          <w:p>
            <w:pPr>
              <w:widowControl/>
              <w:wordWrap w:val="0"/>
              <w:spacing w:line="360" w:lineRule="auto"/>
              <w:jc w:val="center"/>
              <w:rPr>
                <w:rFonts w:ascii="宋体" w:hAnsi="宋体"/>
                <w:color w:val="auto"/>
                <w:sz w:val="24"/>
              </w:rPr>
            </w:pPr>
            <w:r>
              <w:rPr>
                <w:rFonts w:hint="eastAsia" w:ascii="宋体" w:hAnsi="宋体" w:cs="宋体"/>
                <w:color w:val="auto"/>
                <w:kern w:val="0"/>
                <w:sz w:val="24"/>
                <w:szCs w:val="24"/>
                <w:lang w:bidi="ar"/>
              </w:rPr>
              <w:t>2-7</w:t>
            </w:r>
          </w:p>
        </w:tc>
        <w:tc>
          <w:tcPr>
            <w:tcW w:w="7157" w:type="dxa"/>
            <w:gridSpan w:val="2"/>
            <w:vAlign w:val="center"/>
          </w:tcPr>
          <w:p>
            <w:pPr>
              <w:widowControl/>
              <w:wordWrap w:val="0"/>
              <w:spacing w:line="360" w:lineRule="auto"/>
              <w:jc w:val="left"/>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根据供应商律师团队内部人员情况进行评价：（满分2分）</w:t>
            </w:r>
          </w:p>
          <w:p>
            <w:pPr>
              <w:widowControl/>
              <w:wordWrap w:val="0"/>
              <w:spacing w:line="360" w:lineRule="auto"/>
              <w:jc w:val="left"/>
              <w:rPr>
                <w:rFonts w:ascii="宋体" w:hAnsi="宋体" w:cs="宋体"/>
                <w:color w:val="auto"/>
                <w:sz w:val="24"/>
                <w:szCs w:val="24"/>
              </w:rPr>
            </w:pPr>
            <w:r>
              <w:rPr>
                <w:rFonts w:hint="eastAsia" w:ascii="宋体" w:hAnsi="宋体" w:cs="宋体"/>
                <w:color w:val="auto"/>
                <w:sz w:val="24"/>
                <w:szCs w:val="24"/>
              </w:rPr>
              <w:t>供应商须承诺律师团队内部人员均具有诚信记录良好的，得2分。</w:t>
            </w:r>
          </w:p>
          <w:p>
            <w:pPr>
              <w:widowControl/>
              <w:wordWrap w:val="0"/>
              <w:spacing w:line="360" w:lineRule="auto"/>
              <w:jc w:val="left"/>
              <w:rPr>
                <w:b/>
                <w:bCs/>
                <w:color w:val="auto"/>
                <w:szCs w:val="24"/>
              </w:rPr>
            </w:pPr>
            <w:r>
              <w:rPr>
                <w:rFonts w:hint="eastAsia" w:ascii="宋体" w:hAnsi="宋体" w:cs="宋体"/>
                <w:b/>
                <w:bCs/>
                <w:color w:val="auto"/>
                <w:sz w:val="24"/>
                <w:szCs w:val="24"/>
              </w:rPr>
              <w:t>注：</w:t>
            </w:r>
            <w:r>
              <w:rPr>
                <w:rFonts w:hint="eastAsia" w:ascii="宋体" w:hAnsi="宋体" w:cs="宋体"/>
                <w:color w:val="auto"/>
                <w:sz w:val="24"/>
                <w:szCs w:val="24"/>
              </w:rPr>
              <w:t>承诺函格式自拟</w:t>
            </w:r>
            <w:r>
              <w:rPr>
                <w:rFonts w:hint="eastAsia" w:ascii="宋体" w:hAnsi="宋体" w:cs="宋体"/>
                <w:color w:val="auto"/>
                <w:sz w:val="24"/>
                <w:szCs w:val="24"/>
                <w:lang w:val="en-US" w:eastAsia="zh-CN"/>
              </w:rPr>
              <w:t>并加盖公章</w:t>
            </w:r>
            <w:r>
              <w:rPr>
                <w:rFonts w:hint="eastAsia" w:ascii="宋体" w:hAnsi="宋体" w:cs="宋体"/>
                <w:color w:val="auto"/>
                <w:sz w:val="24"/>
                <w:szCs w:val="24"/>
              </w:rPr>
              <w:t>，未承诺的本项不得分。</w:t>
            </w:r>
          </w:p>
        </w:tc>
        <w:tc>
          <w:tcPr>
            <w:tcW w:w="848" w:type="dxa"/>
            <w:vAlign w:val="center"/>
          </w:tcPr>
          <w:p>
            <w:pPr>
              <w:widowControl/>
              <w:wordWrap w:val="0"/>
              <w:spacing w:line="360" w:lineRule="auto"/>
              <w:jc w:val="center"/>
              <w:rPr>
                <w:rStyle w:val="87"/>
                <w:rFonts w:ascii="宋体" w:hAnsi="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2" w:type="dxa"/>
            <w:gridSpan w:val="5"/>
            <w:vAlign w:val="center"/>
          </w:tcPr>
          <w:p>
            <w:pPr>
              <w:wordWrap w:val="0"/>
              <w:spacing w:line="360" w:lineRule="auto"/>
              <w:ind w:left="-99" w:leftChars="-47" w:right="-78" w:rightChars="-37"/>
              <w:jc w:val="center"/>
              <w:rPr>
                <w:rFonts w:ascii="宋体" w:hAnsi="宋体"/>
                <w:b/>
                <w:color w:val="auto"/>
                <w:sz w:val="24"/>
                <w:szCs w:val="24"/>
              </w:rPr>
            </w:pPr>
            <w:r>
              <w:rPr>
                <w:rFonts w:hint="eastAsia" w:ascii="宋体" w:hAnsi="宋体"/>
                <w:b/>
                <w:color w:val="auto"/>
                <w:sz w:val="24"/>
                <w:szCs w:val="24"/>
              </w:rPr>
              <w:t>3、价格因素（满分1</w:t>
            </w:r>
            <w:r>
              <w:rPr>
                <w:rFonts w:hint="eastAsia" w:ascii="宋体" w:hAnsi="宋体"/>
                <w:b/>
                <w:color w:val="auto"/>
                <w:sz w:val="24"/>
                <w:szCs w:val="24"/>
                <w:lang w:val="en-US" w:eastAsia="zh-CN"/>
              </w:rPr>
              <w:t>5</w:t>
            </w:r>
            <w:r>
              <w:rPr>
                <w:rFonts w:hint="eastAsia" w:ascii="宋体" w:hAnsi="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gridSpan w:val="2"/>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3-1</w:t>
            </w:r>
          </w:p>
        </w:tc>
        <w:tc>
          <w:tcPr>
            <w:tcW w:w="7157" w:type="dxa"/>
            <w:gridSpan w:val="2"/>
            <w:vAlign w:val="center"/>
          </w:tcPr>
          <w:p>
            <w:pPr>
              <w:wordWrap w:val="0"/>
              <w:spacing w:line="360" w:lineRule="auto"/>
              <w:rPr>
                <w:rFonts w:ascii="宋体" w:hAnsi="宋体" w:cs="宋体"/>
                <w:color w:val="auto"/>
                <w:sz w:val="24"/>
                <w:szCs w:val="24"/>
              </w:rPr>
            </w:pPr>
            <w:r>
              <w:rPr>
                <w:rFonts w:hint="eastAsia" w:ascii="宋体" w:hAnsi="宋体" w:cs="宋体"/>
                <w:color w:val="auto"/>
                <w:sz w:val="24"/>
                <w:szCs w:val="24"/>
              </w:rPr>
              <w:t>满足磋商文件要求且评审价最低的磋商响应供应商的价格为磋商基准价，其价格分为满分。其他供应商的价格分统一按照公式：</w:t>
            </w:r>
          </w:p>
          <w:p>
            <w:pPr>
              <w:wordWrap w:val="0"/>
              <w:spacing w:line="360" w:lineRule="auto"/>
              <w:jc w:val="center"/>
              <w:rPr>
                <w:rFonts w:ascii="宋体" w:hAnsi="宋体" w:cs="宋体"/>
                <w:b/>
                <w:color w:val="auto"/>
                <w:sz w:val="24"/>
                <w:szCs w:val="24"/>
              </w:rPr>
            </w:pPr>
            <w:r>
              <w:rPr>
                <w:rFonts w:hint="eastAsia" w:ascii="宋体" w:hAnsi="宋体" w:cs="宋体"/>
                <w:b/>
                <w:color w:val="auto"/>
                <w:sz w:val="24"/>
                <w:szCs w:val="24"/>
              </w:rPr>
              <w:t>磋商报价得分=</w:t>
            </w:r>
            <w:r>
              <w:rPr>
                <w:rFonts w:ascii="宋体" w:hAnsi="宋体" w:cs="宋体"/>
                <w:b/>
                <w:color w:val="auto"/>
                <w:sz w:val="24"/>
                <w:szCs w:val="24"/>
              </w:rPr>
              <w:t>1</w:t>
            </w:r>
            <w:r>
              <w:rPr>
                <w:rFonts w:hint="eastAsia" w:ascii="宋体" w:hAnsi="宋体" w:cs="宋体"/>
                <w:b/>
                <w:color w:val="auto"/>
                <w:sz w:val="24"/>
                <w:szCs w:val="24"/>
                <w:lang w:val="en-US" w:eastAsia="zh-CN"/>
              </w:rPr>
              <w:t>5</w:t>
            </w:r>
            <w:r>
              <w:rPr>
                <w:rFonts w:hint="eastAsia" w:ascii="宋体" w:hAnsi="宋体" w:cs="宋体"/>
                <w:b/>
                <w:color w:val="auto"/>
                <w:sz w:val="24"/>
                <w:szCs w:val="24"/>
              </w:rPr>
              <w:t>×磋商基准价/供应商的评审价</w:t>
            </w:r>
          </w:p>
          <w:p>
            <w:pPr>
              <w:pStyle w:val="73"/>
              <w:wordWrap w:val="0"/>
              <w:spacing w:line="360" w:lineRule="auto"/>
              <w:rPr>
                <w:rFonts w:ascii="宋体" w:hAnsi="宋体"/>
                <w:color w:val="auto"/>
                <w:szCs w:val="24"/>
              </w:rPr>
            </w:pPr>
            <w:bookmarkStart w:id="78" w:name="_Toc21224"/>
            <w:r>
              <w:rPr>
                <w:rFonts w:hint="eastAsia" w:ascii="宋体" w:hAnsi="宋体" w:cs="宋体"/>
                <w:color w:val="auto"/>
                <w:szCs w:val="24"/>
              </w:rPr>
              <w:t>说明：最后磋商报价还需进行算术错误修正、漏（缺）项修正、“后一次的报价高于前一次报价的，后一次的报价无效，以前一次的报价为准”的报价认定。</w:t>
            </w:r>
            <w:bookmarkEnd w:id="78"/>
          </w:p>
        </w:tc>
        <w:tc>
          <w:tcPr>
            <w:tcW w:w="848" w:type="dxa"/>
            <w:vAlign w:val="center"/>
          </w:tcPr>
          <w:p>
            <w:pPr>
              <w:wordWrap w:val="0"/>
              <w:spacing w:line="360" w:lineRule="auto"/>
              <w:ind w:left="-99" w:leftChars="-47" w:right="-78" w:rightChars="-37"/>
              <w:jc w:val="center"/>
              <w:rPr>
                <w:rFonts w:hint="eastAsia" w:ascii="宋体" w:hAnsi="宋体" w:eastAsia="宋体" w:cs="Arial"/>
                <w:bCs/>
                <w:color w:val="auto"/>
                <w:sz w:val="24"/>
                <w:szCs w:val="24"/>
                <w:lang w:eastAsia="zh-CN"/>
              </w:rPr>
            </w:pPr>
            <w:r>
              <w:rPr>
                <w:rFonts w:ascii="宋体" w:hAnsi="宋体"/>
                <w:bCs/>
                <w:color w:val="auto"/>
                <w:kern w:val="10"/>
                <w:sz w:val="24"/>
                <w:szCs w:val="24"/>
              </w:rPr>
              <w:t>1</w:t>
            </w:r>
            <w:r>
              <w:rPr>
                <w:rFonts w:hint="eastAsia" w:ascii="宋体" w:hAnsi="宋体"/>
                <w:bCs/>
                <w:color w:val="auto"/>
                <w:kern w:val="10"/>
                <w:sz w:val="24"/>
                <w:szCs w:val="24"/>
                <w:lang w:val="en-US" w:eastAsia="zh-CN"/>
              </w:rPr>
              <w:t>5</w:t>
            </w:r>
          </w:p>
        </w:tc>
      </w:tr>
      <w:bookmarkEnd w:id="77"/>
    </w:tbl>
    <w:p>
      <w:pPr>
        <w:tabs>
          <w:tab w:val="left" w:pos="-1080"/>
          <w:tab w:val="left" w:pos="180"/>
          <w:tab w:val="left" w:pos="1080"/>
        </w:tabs>
        <w:wordWrap w:val="0"/>
        <w:spacing w:line="360" w:lineRule="auto"/>
        <w:ind w:firstLine="481" w:firstLineChars="200"/>
        <w:rPr>
          <w:rFonts w:ascii="宋体" w:hAnsi="宋体"/>
          <w:color w:val="auto"/>
          <w:sz w:val="24"/>
          <w:szCs w:val="24"/>
        </w:rPr>
      </w:pPr>
      <w:r>
        <w:rPr>
          <w:rFonts w:ascii="宋体" w:hAnsi="宋体"/>
          <w:b/>
          <w:bCs/>
          <w:color w:val="auto"/>
          <w:kern w:val="10"/>
          <w:sz w:val="24"/>
          <w:szCs w:val="24"/>
        </w:rPr>
        <w:t>4</w:t>
      </w:r>
      <w:r>
        <w:rPr>
          <w:rFonts w:hint="eastAsia" w:ascii="宋体" w:hAnsi="宋体"/>
          <w:b/>
          <w:bCs/>
          <w:color w:val="auto"/>
          <w:kern w:val="10"/>
          <w:sz w:val="24"/>
          <w:szCs w:val="24"/>
        </w:rPr>
        <w:t>、各有效供应商的最后综合得分＝技术因素＋商务因素＋价格因素</w:t>
      </w:r>
    </w:p>
    <w:p>
      <w:pPr>
        <w:tabs>
          <w:tab w:val="left" w:pos="-1080"/>
          <w:tab w:val="left" w:pos="180"/>
          <w:tab w:val="left" w:pos="1080"/>
        </w:tabs>
        <w:wordWrap w:val="0"/>
        <w:spacing w:line="360" w:lineRule="auto"/>
        <w:rPr>
          <w:rFonts w:ascii="宋体" w:hAnsi="宋体"/>
          <w:color w:val="auto"/>
          <w:sz w:val="24"/>
          <w:szCs w:val="24"/>
        </w:rPr>
      </w:pPr>
      <w:r>
        <w:rPr>
          <w:rFonts w:hint="eastAsia" w:ascii="宋体" w:hAnsi="宋体"/>
          <w:color w:val="auto"/>
          <w:sz w:val="24"/>
          <w:szCs w:val="24"/>
        </w:rPr>
        <w:t>【说明：</w:t>
      </w:r>
      <w:r>
        <w:rPr>
          <w:rFonts w:hint="eastAsia" w:ascii="宋体" w:hAnsi="宋体"/>
          <w:color w:val="auto"/>
          <w:kern w:val="0"/>
          <w:sz w:val="24"/>
          <w:szCs w:val="24"/>
        </w:rPr>
        <w:t>供应商应提供证明材料并标注对应关系，未按要求提供证明材料的，认定该项技术、商务指标不得分；</w:t>
      </w:r>
      <w:r>
        <w:rPr>
          <w:rFonts w:hint="eastAsia" w:ascii="宋体" w:hAnsi="宋体"/>
          <w:color w:val="auto"/>
          <w:sz w:val="24"/>
          <w:szCs w:val="24"/>
        </w:rPr>
        <w:t>供应商应如实表述其响应情况，如供应商复制磋商文件的磋商内容作为其响应文件组成内容的，磋商小组将对其作出不利的评审。】</w:t>
      </w:r>
    </w:p>
    <w:p>
      <w:pPr>
        <w:pStyle w:val="2"/>
        <w:pageBreakBefore/>
        <w:widowControl/>
        <w:wordWrap w:val="0"/>
        <w:spacing w:before="0" w:after="0" w:line="360" w:lineRule="auto"/>
        <w:rPr>
          <w:rFonts w:ascii="宋体" w:hAnsi="宋体"/>
          <w:color w:val="auto"/>
        </w:rPr>
      </w:pPr>
      <w:bookmarkStart w:id="79" w:name="_Toc67603062"/>
      <w:bookmarkStart w:id="80" w:name="_Toc78368513"/>
      <w:bookmarkStart w:id="81" w:name="_Toc6502"/>
      <w:bookmarkStart w:id="82" w:name="_Toc7483"/>
      <w:bookmarkStart w:id="83" w:name="_Toc7791"/>
      <w:bookmarkStart w:id="84" w:name="_Toc12117"/>
      <w:bookmarkStart w:id="85" w:name="_Toc18911"/>
      <w:bookmarkStart w:id="86" w:name="_Toc10407"/>
      <w:bookmarkStart w:id="87" w:name="_Toc11513"/>
      <w:bookmarkStart w:id="88" w:name="_Toc25430"/>
      <w:r>
        <w:rPr>
          <w:rFonts w:hint="eastAsia" w:ascii="宋体" w:hAnsi="宋体"/>
          <w:color w:val="auto"/>
        </w:rPr>
        <w:t>一、</w:t>
      </w:r>
      <w:r>
        <w:rPr>
          <w:rFonts w:ascii="宋体" w:hAnsi="宋体"/>
          <w:color w:val="auto"/>
        </w:rPr>
        <w:t>说明</w:t>
      </w:r>
      <w:bookmarkEnd w:id="79"/>
      <w:bookmarkEnd w:id="80"/>
      <w:bookmarkEnd w:id="81"/>
      <w:bookmarkEnd w:id="82"/>
      <w:bookmarkEnd w:id="83"/>
      <w:bookmarkEnd w:id="84"/>
      <w:bookmarkEnd w:id="85"/>
      <w:bookmarkEnd w:id="86"/>
      <w:bookmarkEnd w:id="87"/>
      <w:bookmarkEnd w:id="88"/>
    </w:p>
    <w:p>
      <w:pPr>
        <w:pStyle w:val="4"/>
        <w:wordWrap w:val="0"/>
        <w:spacing w:before="0" w:after="0" w:line="360" w:lineRule="auto"/>
        <w:ind w:left="210"/>
        <w:rPr>
          <w:rFonts w:ascii="宋体" w:hAnsi="宋体"/>
          <w:color w:val="auto"/>
        </w:rPr>
      </w:pPr>
      <w:bookmarkStart w:id="89" w:name="_Toc78368514"/>
      <w:bookmarkStart w:id="90" w:name="_Toc67603063"/>
      <w:bookmarkStart w:id="91" w:name="_Toc10062"/>
      <w:r>
        <w:rPr>
          <w:rFonts w:hint="eastAsia" w:ascii="宋体" w:hAnsi="宋体"/>
          <w:color w:val="auto"/>
        </w:rPr>
        <w:t>1.适用范围</w:t>
      </w:r>
      <w:bookmarkEnd w:id="89"/>
      <w:bookmarkEnd w:id="90"/>
      <w:bookmarkEnd w:id="91"/>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1.1本采购文件仅适用于邀请中所叙述项目的采购。</w:t>
      </w:r>
    </w:p>
    <w:p>
      <w:pPr>
        <w:pStyle w:val="4"/>
        <w:wordWrap w:val="0"/>
        <w:spacing w:before="0" w:after="0" w:line="360" w:lineRule="auto"/>
        <w:ind w:left="210"/>
        <w:rPr>
          <w:rFonts w:ascii="宋体" w:hAnsi="宋体"/>
          <w:color w:val="auto"/>
        </w:rPr>
      </w:pPr>
      <w:bookmarkStart w:id="92" w:name="_Toc78368515"/>
      <w:bookmarkStart w:id="93" w:name="_Toc7013"/>
      <w:bookmarkStart w:id="94" w:name="_Toc67603064"/>
      <w:r>
        <w:rPr>
          <w:rFonts w:hint="eastAsia" w:ascii="宋体" w:hAnsi="宋体"/>
          <w:color w:val="auto"/>
        </w:rPr>
        <w:t>2.定义</w:t>
      </w:r>
      <w:bookmarkEnd w:id="92"/>
      <w:bookmarkEnd w:id="93"/>
      <w:bookmarkEnd w:id="94"/>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2.1“采购人”系指本次采购项目的业主方。</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2.2“采购单位”系指组织本次采购活动的采购人或采购代理机构。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2.3“采购代理机构”系指本次采购项目活动组织方。</w:t>
      </w:r>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2.4“报价人”系指购买了本采购文件，且已经提交或准备提交报价文件的制造商或供货商。</w:t>
      </w:r>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2.5“货物”系指指各种形态和和种类的物品，包括原材料、燃料、设备、产品等。</w:t>
      </w:r>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2.6“工程”系指采购文件规定成交供应商须承担的土建施工、修缮、景观建设、改造，绿化工程等。</w:t>
      </w:r>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2.7“服务”系指除货物和工程以外的其他采购对象。</w:t>
      </w:r>
    </w:p>
    <w:p>
      <w:pPr>
        <w:pStyle w:val="4"/>
        <w:wordWrap w:val="0"/>
        <w:spacing w:before="0" w:after="0" w:line="360" w:lineRule="auto"/>
        <w:ind w:left="210"/>
        <w:rPr>
          <w:rFonts w:ascii="宋体" w:hAnsi="宋体"/>
          <w:color w:val="auto"/>
        </w:rPr>
      </w:pPr>
      <w:bookmarkStart w:id="95" w:name="_Toc16619"/>
      <w:bookmarkStart w:id="96" w:name="_Toc78368516"/>
      <w:bookmarkStart w:id="97" w:name="_Toc67603065"/>
      <w:r>
        <w:rPr>
          <w:rFonts w:hint="eastAsia" w:ascii="宋体" w:hAnsi="宋体"/>
          <w:color w:val="auto"/>
        </w:rPr>
        <w:t>3.合格的报价人</w:t>
      </w:r>
      <w:bookmarkEnd w:id="95"/>
      <w:bookmarkEnd w:id="96"/>
      <w:bookmarkEnd w:id="97"/>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3.1凡有能力提供本采购文件所货物的，符合本采购文件规定资格要求的报价人均可能成为合格的报价人，应提供以下材料：</w:t>
      </w:r>
    </w:p>
    <w:p>
      <w:pPr>
        <w:wordWrap w:val="0"/>
        <w:spacing w:line="360" w:lineRule="auto"/>
        <w:ind w:firstLine="480" w:firstLineChars="200"/>
        <w:rPr>
          <w:rFonts w:ascii="宋体" w:hAnsi="宋体"/>
          <w:color w:val="auto"/>
          <w:sz w:val="24"/>
        </w:rPr>
      </w:pPr>
      <w:r>
        <w:rPr>
          <w:rFonts w:hint="eastAsia" w:ascii="宋体" w:hAnsi="宋体"/>
          <w:color w:val="auto"/>
          <w:sz w:val="24"/>
        </w:rPr>
        <w:t>（一）营业执照等证明文件：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w:t>
      </w:r>
      <w:del w:id="43" w:author="FYD" w:date="2023-05-25T16:21:30Z">
        <w:r>
          <w:rPr>
            <w:rFonts w:hint="eastAsia" w:ascii="宋体" w:hAnsi="宋体"/>
            <w:color w:val="auto"/>
            <w:sz w:val="24"/>
          </w:rPr>
          <w:delText>报价人为自然人的，提供有效的自然人身份证件复印件；</w:delText>
        </w:r>
      </w:del>
      <w:r>
        <w:rPr>
          <w:rFonts w:hint="eastAsia" w:ascii="宋体" w:hAnsi="宋体"/>
          <w:color w:val="auto"/>
          <w:sz w:val="24"/>
        </w:rPr>
        <w:t>其他报价人应按照有关法律、法规和规章规定，提供有效的相应具体证照复印件。</w:t>
      </w:r>
    </w:p>
    <w:p>
      <w:pPr>
        <w:wordWrap w:val="0"/>
        <w:spacing w:line="360" w:lineRule="auto"/>
        <w:ind w:firstLine="480" w:firstLineChars="200"/>
        <w:rPr>
          <w:rFonts w:ascii="宋体" w:hAnsi="宋体"/>
          <w:color w:val="auto"/>
          <w:sz w:val="24"/>
        </w:rPr>
      </w:pPr>
      <w:r>
        <w:rPr>
          <w:rFonts w:hint="eastAsia" w:ascii="宋体" w:hAnsi="宋体"/>
          <w:color w:val="auto"/>
          <w:sz w:val="24"/>
        </w:rPr>
        <w:t>（二）财务状况报告（财务报告、或资信证明、或报价担保函）：1、报价人提供的财务报告复印件（成立年限按照报价截止时间推算）应符合下列规定：1.1 成立年限满1年及以上的报价人，提供上一年度的年度财务报告。1.2 成立年限满半年但不足1年的报价人，提供该半年度中任一季度的季度财务报告或该半年度的半年度财务报告。※无法按照第1.1、1.2条规定提供财务报告复印件的报价人（包括但不限于：成立年限满1年及以上的报价人、成立年限满半年但不足1年的报价人、成立年限不足半年的报价人），应选择提供资信证明复印件或报价担保函复印件。2、“财政部门认可的政府采购专业担保机构”应符合《财政部关于开展政府采购信用担保试点工作方案》（财库 [2011]124号）的规定。供应商上一年度的财务审计报告尚未完成且提交响应（报价）文件时间在1月1日至6月30日的，可提供经审计的2021年年度财务报告，磋商采购文件其他要求与本要求不一致的，以本要求为准。</w:t>
      </w:r>
    </w:p>
    <w:p>
      <w:pPr>
        <w:wordWrap w:val="0"/>
        <w:spacing w:line="360" w:lineRule="auto"/>
        <w:ind w:firstLine="480" w:firstLineChars="200"/>
        <w:rPr>
          <w:rFonts w:ascii="宋体" w:hAnsi="宋体"/>
          <w:color w:val="auto"/>
          <w:sz w:val="24"/>
        </w:rPr>
      </w:pPr>
      <w:r>
        <w:rPr>
          <w:rFonts w:hint="eastAsia" w:ascii="宋体" w:hAnsi="宋体"/>
          <w:color w:val="auto"/>
          <w:sz w:val="24"/>
        </w:rPr>
        <w:t>（三）依法缴纳税收证明材料：1、报价人提供的税收凭据复印件应符合下列规定：1.1报价截止时间前（不含报价截止时间的当月）已依法缴纳税收的报价人，提供报价截止时间前六个月（不含报价截止时间的当月）中任一月份的税收凭据复印件。1.2报价截止时间的当月成立且已依法缴纳税收的报价人，提供报价截止时间当月的税收凭据复印件。1.3报价截止时间的当月成立但因税务机关原因导致其尚未依法缴纳税收的报价人，提供依法缴纳税收承诺书原件（格式自拟），该承诺书视同税收凭据。2、“依法缴纳税收证明材料”有欠缴记录的，视为未依法缴纳税收。3、因疫情原因缓交、免交的，须提供书面说明及相关证明材料。</w:t>
      </w:r>
    </w:p>
    <w:p>
      <w:pPr>
        <w:wordWrap w:val="0"/>
        <w:spacing w:line="360" w:lineRule="auto"/>
        <w:ind w:firstLine="480" w:firstLineChars="200"/>
        <w:rPr>
          <w:rFonts w:ascii="宋体" w:hAnsi="宋体"/>
          <w:color w:val="auto"/>
          <w:sz w:val="24"/>
        </w:rPr>
      </w:pPr>
      <w:r>
        <w:rPr>
          <w:rFonts w:hint="eastAsia" w:ascii="宋体" w:hAnsi="宋体"/>
          <w:color w:val="auto"/>
          <w:sz w:val="24"/>
        </w:rPr>
        <w:t>（四）依法缴纳社会保障资金证明材料：1、报价人提供的社会保险凭据复印件应符合下列规定：1.1报价截止时间前（不含报价截止时间的当月）已依法缴纳社会保障资金的报价人，提供报价截止时间前六个月（不含报价截止时间的当月）中任一月份的社会保险凭据复印件。1.2报价截止时间的当月成立且已依法缴纳社会保障资金的报价人，提供报价截止时间当月的社会保险凭据复印件。1.3报价截止时间的当月成立但因税务机关/社会保障资金管理机关原因导致其尚未依法缴纳社会保障资金的报价人，提供依法缴纳社会保障资金承诺书原件（格式自拟），该承诺书视同社会保险凭据。2、“依法缴纳社会保障资金证明材料”有欠缴记录的，视为未依法缴纳社会保障资金。3、因疫情原因缓交、免交的，须提供书面说明及相关证明材料。</w:t>
      </w:r>
    </w:p>
    <w:p>
      <w:pPr>
        <w:wordWrap w:val="0"/>
        <w:spacing w:line="360" w:lineRule="auto"/>
        <w:ind w:firstLine="480" w:firstLineChars="200"/>
        <w:rPr>
          <w:rFonts w:ascii="宋体" w:hAnsi="宋体"/>
          <w:color w:val="auto"/>
          <w:sz w:val="24"/>
        </w:rPr>
      </w:pPr>
      <w:r>
        <w:rPr>
          <w:rFonts w:hint="eastAsia" w:ascii="宋体" w:hAnsi="宋体"/>
          <w:color w:val="auto"/>
          <w:sz w:val="24"/>
        </w:rPr>
        <w:t>（五）参加采购活动前3 年内在经营活动中没有重大违法记录的书面声明。</w:t>
      </w:r>
    </w:p>
    <w:p>
      <w:pPr>
        <w:wordWrap w:val="0"/>
        <w:spacing w:line="360" w:lineRule="auto"/>
        <w:ind w:firstLine="480" w:firstLineChars="200"/>
        <w:rPr>
          <w:rFonts w:ascii="宋体" w:hAnsi="宋体"/>
          <w:color w:val="auto"/>
          <w:sz w:val="24"/>
        </w:rPr>
      </w:pPr>
      <w:r>
        <w:rPr>
          <w:rFonts w:hint="eastAsia" w:ascii="宋体" w:hAnsi="宋体"/>
          <w:color w:val="auto"/>
          <w:sz w:val="24"/>
        </w:rPr>
        <w:t>（六）具备履行合同所必需的设备和专业技术能力的证明材料（可以提供证明材料、承诺书等）。</w:t>
      </w:r>
    </w:p>
    <w:p>
      <w:pPr>
        <w:wordWrap w:val="0"/>
        <w:spacing w:line="360" w:lineRule="auto"/>
        <w:ind w:firstLine="480" w:firstLineChars="200"/>
        <w:rPr>
          <w:rFonts w:ascii="宋体" w:hAnsi="宋体"/>
          <w:color w:val="auto"/>
          <w:sz w:val="24"/>
        </w:rPr>
      </w:pPr>
      <w:r>
        <w:rPr>
          <w:rFonts w:hint="eastAsia" w:ascii="宋体" w:hAnsi="宋体"/>
          <w:color w:val="auto"/>
          <w:sz w:val="24"/>
        </w:rPr>
        <w:t>（七）报价人代表若不是企业法定代表人，需提供法人授权书原件并提供被授权代表的身份证复印件。</w:t>
      </w:r>
    </w:p>
    <w:p>
      <w:pPr>
        <w:wordWrap w:val="0"/>
        <w:spacing w:line="360" w:lineRule="auto"/>
        <w:ind w:firstLine="480" w:firstLineChars="200"/>
        <w:rPr>
          <w:rFonts w:ascii="宋体" w:hAnsi="宋体"/>
          <w:color w:val="auto"/>
          <w:sz w:val="24"/>
        </w:rPr>
      </w:pPr>
      <w:r>
        <w:rPr>
          <w:rFonts w:hint="eastAsia" w:ascii="宋体" w:hAnsi="宋体"/>
          <w:color w:val="auto"/>
          <w:sz w:val="24"/>
        </w:rPr>
        <w:t>（八）磋商小组将在资格审核时通过“信用中国”网站（www.creditchina.gov.cn）、中国政府采购网（www.ccgp.gov.cn）、“信用厦门”（http://credit.xm.gov.cn/）查询并打印各报价人的信用记录，查询结果存在报价人应被拒绝参与政府采购活动相关信息的，其资格审查不合格。</w:t>
      </w:r>
    </w:p>
    <w:p>
      <w:pPr>
        <w:wordWrap w:val="0"/>
        <w:spacing w:line="360" w:lineRule="auto"/>
        <w:ind w:firstLine="480" w:firstLineChars="200"/>
        <w:rPr>
          <w:rFonts w:ascii="宋体" w:hAnsi="宋体"/>
          <w:color w:val="auto"/>
          <w:sz w:val="24"/>
        </w:rPr>
      </w:pPr>
      <w:r>
        <w:rPr>
          <w:rFonts w:hint="eastAsia" w:ascii="宋体" w:hAnsi="宋体"/>
          <w:color w:val="auto"/>
          <w:sz w:val="24"/>
        </w:rPr>
        <w:t>（九）本项目不接受联合体报价，取消采购文件中有关联合体的所有规定。</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3.2报价人应遵守有关法律、法规和规章的规定，同时其响应货物及服务也应符合有关法律、法规和规章的规定。</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3.3一个报价人只能提交一个报价文件。如果报价人之间存在下列互为关联关系的情形之一的，不得同时参加本项目同一合同包响应：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 法定代表人、单位负责人为同一人或夫妻关系的不同报价人；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 存在直接控股、管理关系的不同报价人；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 均为同一家母公司直接或间接持股50％及以上的被投资公司。</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3.4报价人不得与本次磋商项下设计、编制技术规格和其他文件的公司或提供咨询服务的公司包括其附属机构有任何关联。 </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3.5若接受联合体磋商，则两个或者两个以上报价人可以组成一个响应联合体，以一个报价人的身份响应。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以联合体形式参加磋商的，联合体各方均应当符合合格的报价人相关规定。采购人根据采购项目的特殊要求规定报价人特定条件的，联合体各方中至少应当有一方符合采购人规定的全部特定条件，如联合体各方中没有一方符合全部特定条件的，该联合体响应无效。</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以联合体形式响应的，除本采购文件其他章节或本须知其他条款另有规定或要求外，报价文件中仅加盖联合体一方公章的相关文件，对联合体各方均具有约束力。</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项目如涉及资质要求，该部分内容应由联合体中具有该资质要求的报价人承担。联合体协议及签订的采购合同应包含此项内容。</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(4)联合体中有同类资质的报价人按照联合体分工承担相同工作的，应当按照资质等级较低的报价人确定资质等级。</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3.6磋商代理人在同一个项目中只能接受一个报价人的委托参加磋商响应。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3.7报价人存在下列情形之一的，将被认定为串通响应行为并作无效响应处理：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（1）报价人之间协商磋商报价等采购文件的实质性内容；</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（2）报价人之间约定成交供应商；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（3）报价人之间约定部分报价人放弃磋商响应或者成交；</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（4）属于同一集团、协会、商会等组织成员的报价人按照该组织要求协同磋商响应；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（5）报价人之间为谋取成交或者排斥特定报价人而采取的其他联合行动；</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（6）不同报价人的报价文件由同一单位或者个人编制；</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（7）不同报价人委托同一单位或者个人办理磋商响应事宜；</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（8）不同报价人的报价文件载明的项目管理成员为同一人；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（9）不同报价人的报价文件异常一致或者报价呈规律性差异；</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（10）不同报价人的报价文件相互混装；</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（11）不同报价人的磋商保证金从同一单位或者个人的账户转出。</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（12）不同报价人的报价文件错、漏之处一致或雷同，且不能合理解释的；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（13）不同的报价人的法定代表人、委托代理人等由同一个单位缴纳社会保险的；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（14）由同一人或分别由几个有利害关系的人携带两个以上（含两个）报价人的企业资料参与资格审查、领取采购资料，或代表两个以上（含两个）报价人参加项目答疑会、交纳或退还磋商保证金、参加磋商的；</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（15）有关法律、法规或规章规定的其他串通行为。</w:t>
      </w:r>
    </w:p>
    <w:p>
      <w:pPr>
        <w:pStyle w:val="4"/>
        <w:wordWrap w:val="0"/>
        <w:spacing w:before="0" w:after="0" w:line="360" w:lineRule="auto"/>
        <w:ind w:left="210"/>
        <w:rPr>
          <w:rFonts w:ascii="宋体" w:hAnsi="宋体"/>
          <w:color w:val="auto"/>
        </w:rPr>
      </w:pPr>
      <w:bookmarkStart w:id="98" w:name="_Toc67603066"/>
      <w:bookmarkStart w:id="99" w:name="_Toc78368517"/>
      <w:bookmarkStart w:id="100" w:name="_Toc5411"/>
      <w:r>
        <w:rPr>
          <w:rFonts w:hint="eastAsia" w:ascii="宋体" w:hAnsi="宋体"/>
          <w:color w:val="auto"/>
        </w:rPr>
        <w:t>4.磋商费用</w:t>
      </w:r>
      <w:bookmarkEnd w:id="98"/>
      <w:bookmarkEnd w:id="99"/>
      <w:bookmarkEnd w:id="100"/>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4.1报价人应承担其准备与参加磋商所涉及的一切费用。</w:t>
      </w:r>
    </w:p>
    <w:p>
      <w:pPr>
        <w:pStyle w:val="4"/>
        <w:wordWrap w:val="0"/>
        <w:spacing w:before="0" w:after="0" w:line="360" w:lineRule="auto"/>
        <w:ind w:left="210"/>
        <w:rPr>
          <w:rFonts w:ascii="宋体" w:hAnsi="宋体"/>
          <w:color w:val="auto"/>
        </w:rPr>
      </w:pPr>
      <w:bookmarkStart w:id="101" w:name="_Toc67603067"/>
      <w:bookmarkStart w:id="102" w:name="_Toc78368518"/>
      <w:bookmarkStart w:id="103" w:name="_Toc11152"/>
      <w:r>
        <w:rPr>
          <w:rFonts w:hint="eastAsia" w:ascii="宋体" w:hAnsi="宋体"/>
          <w:color w:val="auto"/>
        </w:rPr>
        <w:t>5.知识产权</w:t>
      </w:r>
      <w:bookmarkEnd w:id="101"/>
      <w:bookmarkEnd w:id="102"/>
      <w:bookmarkEnd w:id="103"/>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5.1报价人应保证在本项目使用任何产品或其任何一部分服务时，不会产生因第三方提出侵犯其专利权、商标权或其它知识产权而引起的法律和经济责任。因此产生的法律和经济责任由报价人承担。</w:t>
      </w:r>
    </w:p>
    <w:p>
      <w:pPr>
        <w:pStyle w:val="16"/>
        <w:wordWrap w:val="0"/>
        <w:spacing w:line="360" w:lineRule="auto"/>
        <w:ind w:firstLine="480" w:firstLineChars="200"/>
        <w:jc w:val="left"/>
        <w:rPr>
          <w:rFonts w:hAnsi="宋体" w:cs="宋体"/>
          <w:color w:val="auto"/>
          <w:sz w:val="24"/>
          <w:szCs w:val="24"/>
        </w:rPr>
      </w:pPr>
      <w:r>
        <w:rPr>
          <w:rFonts w:hint="eastAsia" w:hAnsi="宋体" w:cs="宋体"/>
          <w:color w:val="auto"/>
          <w:sz w:val="24"/>
          <w:szCs w:val="24"/>
        </w:rPr>
        <w:t>5.2如报价人不拥有相应的知识产权，则在报价中必须包括合法获取该知识产权的相关费用。</w:t>
      </w:r>
    </w:p>
    <w:p>
      <w:pPr>
        <w:pStyle w:val="2"/>
        <w:wordWrap w:val="0"/>
        <w:spacing w:before="0" w:after="0" w:line="360" w:lineRule="auto"/>
        <w:rPr>
          <w:rFonts w:ascii="宋体" w:hAnsi="宋体"/>
          <w:color w:val="auto"/>
        </w:rPr>
      </w:pPr>
      <w:bookmarkStart w:id="104" w:name="_Toc22113"/>
      <w:bookmarkStart w:id="105" w:name="_Toc21919"/>
      <w:bookmarkStart w:id="106" w:name="_Toc67603068"/>
      <w:bookmarkStart w:id="107" w:name="_Toc4390"/>
      <w:bookmarkStart w:id="108" w:name="_Toc78368519"/>
      <w:bookmarkStart w:id="109" w:name="_Toc4539"/>
      <w:bookmarkStart w:id="110" w:name="_Toc9489"/>
      <w:bookmarkStart w:id="111" w:name="_Toc19877"/>
      <w:bookmarkStart w:id="112" w:name="_Toc14005"/>
      <w:bookmarkStart w:id="113" w:name="_Toc19136"/>
      <w:r>
        <w:rPr>
          <w:rFonts w:hint="eastAsia" w:ascii="宋体" w:hAnsi="宋体"/>
          <w:color w:val="auto"/>
        </w:rPr>
        <w:t>二、采购文件</w:t>
      </w:r>
      <w:bookmarkEnd w:id="104"/>
      <w:bookmarkEnd w:id="105"/>
      <w:bookmarkEnd w:id="106"/>
      <w:bookmarkEnd w:id="107"/>
      <w:bookmarkEnd w:id="108"/>
      <w:bookmarkEnd w:id="109"/>
      <w:bookmarkEnd w:id="110"/>
      <w:bookmarkEnd w:id="111"/>
      <w:bookmarkEnd w:id="112"/>
      <w:bookmarkEnd w:id="113"/>
    </w:p>
    <w:p>
      <w:pPr>
        <w:pStyle w:val="4"/>
        <w:wordWrap w:val="0"/>
        <w:spacing w:before="0" w:after="0" w:line="360" w:lineRule="auto"/>
        <w:ind w:left="210"/>
        <w:rPr>
          <w:rFonts w:ascii="宋体" w:hAnsi="宋体"/>
          <w:color w:val="auto"/>
        </w:rPr>
      </w:pPr>
      <w:bookmarkStart w:id="114" w:name="_Toc67603069"/>
      <w:bookmarkStart w:id="115" w:name="_Toc12988"/>
      <w:bookmarkStart w:id="116" w:name="_Toc78368520"/>
      <w:r>
        <w:rPr>
          <w:rFonts w:ascii="宋体" w:hAnsi="宋体"/>
          <w:color w:val="auto"/>
        </w:rPr>
        <w:t>6.采购文件的组成</w:t>
      </w:r>
      <w:bookmarkEnd w:id="114"/>
      <w:bookmarkEnd w:id="115"/>
      <w:bookmarkEnd w:id="116"/>
    </w:p>
    <w:p>
      <w:pPr>
        <w:pStyle w:val="16"/>
        <w:wordWrap w:val="0"/>
        <w:spacing w:line="360" w:lineRule="auto"/>
        <w:ind w:firstLine="480" w:firstLineChars="200"/>
        <w:jc w:val="left"/>
        <w:rPr>
          <w:rFonts w:hAnsi="宋体"/>
          <w:color w:val="auto"/>
          <w:sz w:val="24"/>
        </w:rPr>
      </w:pPr>
      <w:r>
        <w:rPr>
          <w:rFonts w:hAnsi="宋体"/>
          <w:color w:val="auto"/>
          <w:sz w:val="24"/>
        </w:rPr>
        <w:t>6.1采购文件用以阐明所需货物及服务、磋商程序和合同格式及条款。采购文件由下述部分组成：</w:t>
      </w:r>
    </w:p>
    <w:p>
      <w:pPr>
        <w:pStyle w:val="16"/>
        <w:wordWrap w:val="0"/>
        <w:spacing w:line="360" w:lineRule="auto"/>
        <w:ind w:firstLine="480" w:firstLineChars="200"/>
        <w:jc w:val="left"/>
        <w:rPr>
          <w:rFonts w:hAnsi="宋体"/>
          <w:color w:val="auto"/>
          <w:sz w:val="24"/>
        </w:rPr>
      </w:pPr>
      <w:r>
        <w:rPr>
          <w:rFonts w:hAnsi="宋体"/>
          <w:color w:val="auto"/>
          <w:sz w:val="24"/>
        </w:rPr>
        <w:t>（1）</w:t>
      </w:r>
      <w:r>
        <w:rPr>
          <w:rFonts w:hint="eastAsia" w:hAnsi="宋体"/>
          <w:color w:val="auto"/>
          <w:sz w:val="24"/>
        </w:rPr>
        <w:t>磋商邀请</w:t>
      </w:r>
    </w:p>
    <w:p>
      <w:pPr>
        <w:pStyle w:val="16"/>
        <w:wordWrap w:val="0"/>
        <w:spacing w:line="360" w:lineRule="auto"/>
        <w:ind w:firstLine="480" w:firstLineChars="200"/>
        <w:jc w:val="left"/>
        <w:rPr>
          <w:rFonts w:hAnsi="宋体"/>
          <w:color w:val="auto"/>
          <w:sz w:val="24"/>
        </w:rPr>
      </w:pPr>
      <w:r>
        <w:rPr>
          <w:rFonts w:hAnsi="宋体"/>
          <w:color w:val="auto"/>
          <w:sz w:val="24"/>
        </w:rPr>
        <w:t>（2）</w:t>
      </w:r>
      <w:r>
        <w:rPr>
          <w:rFonts w:hint="eastAsia" w:hAnsi="宋体"/>
          <w:color w:val="auto"/>
          <w:sz w:val="24"/>
        </w:rPr>
        <w:t>报价人须知</w:t>
      </w:r>
    </w:p>
    <w:p>
      <w:pPr>
        <w:pStyle w:val="16"/>
        <w:wordWrap w:val="0"/>
        <w:spacing w:line="360" w:lineRule="auto"/>
        <w:ind w:firstLine="480" w:firstLineChars="200"/>
        <w:jc w:val="left"/>
        <w:rPr>
          <w:rFonts w:hAnsi="宋体"/>
          <w:color w:val="auto"/>
          <w:sz w:val="24"/>
        </w:rPr>
      </w:pPr>
      <w:r>
        <w:rPr>
          <w:rFonts w:hAnsi="宋体"/>
          <w:color w:val="auto"/>
          <w:sz w:val="24"/>
        </w:rPr>
        <w:t>（3）</w:t>
      </w:r>
      <w:r>
        <w:rPr>
          <w:rFonts w:hint="eastAsia" w:hAnsi="宋体"/>
          <w:color w:val="auto"/>
          <w:sz w:val="24"/>
        </w:rPr>
        <w:t>采购内容及要求</w:t>
      </w:r>
    </w:p>
    <w:p>
      <w:pPr>
        <w:pStyle w:val="16"/>
        <w:wordWrap w:val="0"/>
        <w:spacing w:line="360" w:lineRule="auto"/>
        <w:ind w:firstLine="480" w:firstLineChars="200"/>
        <w:jc w:val="left"/>
        <w:rPr>
          <w:rFonts w:hAnsi="宋体"/>
          <w:color w:val="auto"/>
          <w:sz w:val="24"/>
        </w:rPr>
      </w:pPr>
      <w:r>
        <w:rPr>
          <w:rFonts w:hAnsi="宋体"/>
          <w:color w:val="auto"/>
          <w:sz w:val="24"/>
        </w:rPr>
        <w:t>（</w:t>
      </w:r>
      <w:r>
        <w:rPr>
          <w:rFonts w:hint="eastAsia" w:hAnsi="宋体"/>
          <w:color w:val="auto"/>
          <w:sz w:val="24"/>
        </w:rPr>
        <w:t>4</w:t>
      </w:r>
      <w:r>
        <w:rPr>
          <w:rFonts w:hAnsi="宋体"/>
          <w:color w:val="auto"/>
          <w:sz w:val="24"/>
        </w:rPr>
        <w:t>）采购合同</w:t>
      </w:r>
      <w:r>
        <w:rPr>
          <w:rFonts w:hint="eastAsia" w:hAnsi="宋体"/>
          <w:color w:val="auto"/>
          <w:sz w:val="24"/>
        </w:rPr>
        <w:t>（参考文本）</w:t>
      </w:r>
    </w:p>
    <w:p>
      <w:pPr>
        <w:pStyle w:val="16"/>
        <w:wordWrap w:val="0"/>
        <w:spacing w:line="360" w:lineRule="auto"/>
        <w:ind w:firstLine="480" w:firstLineChars="200"/>
        <w:jc w:val="left"/>
        <w:rPr>
          <w:rFonts w:hAnsi="宋体"/>
          <w:color w:val="auto"/>
          <w:sz w:val="24"/>
        </w:rPr>
      </w:pPr>
      <w:r>
        <w:rPr>
          <w:rFonts w:hAnsi="宋体"/>
          <w:color w:val="auto"/>
          <w:sz w:val="24"/>
        </w:rPr>
        <w:t>（</w:t>
      </w:r>
      <w:r>
        <w:rPr>
          <w:rFonts w:hint="eastAsia" w:hAnsi="宋体"/>
          <w:color w:val="auto"/>
          <w:sz w:val="24"/>
        </w:rPr>
        <w:t>5</w:t>
      </w:r>
      <w:r>
        <w:rPr>
          <w:rFonts w:hAnsi="宋体"/>
          <w:color w:val="auto"/>
          <w:sz w:val="24"/>
        </w:rPr>
        <w:t>）报价文件格式</w:t>
      </w:r>
    </w:p>
    <w:p>
      <w:pPr>
        <w:pStyle w:val="4"/>
        <w:wordWrap w:val="0"/>
        <w:spacing w:before="0" w:after="0" w:line="360" w:lineRule="auto"/>
        <w:ind w:left="210"/>
        <w:rPr>
          <w:rFonts w:ascii="宋体" w:hAnsi="宋体"/>
          <w:color w:val="auto"/>
        </w:rPr>
      </w:pPr>
      <w:bookmarkStart w:id="117" w:name="_Toc78368521"/>
      <w:bookmarkStart w:id="118" w:name="_Toc67603070"/>
      <w:bookmarkStart w:id="119" w:name="_Toc9041"/>
      <w:r>
        <w:rPr>
          <w:rFonts w:ascii="宋体" w:hAnsi="宋体"/>
          <w:color w:val="auto"/>
        </w:rPr>
        <w:t>7.</w:t>
      </w:r>
      <w:r>
        <w:rPr>
          <w:rFonts w:hint="eastAsia" w:ascii="宋体" w:hAnsi="宋体"/>
          <w:color w:val="auto"/>
        </w:rPr>
        <w:t>采购文件的澄清与修改</w:t>
      </w:r>
      <w:bookmarkEnd w:id="117"/>
      <w:bookmarkEnd w:id="118"/>
      <w:bookmarkEnd w:id="119"/>
    </w:p>
    <w:p>
      <w:pPr>
        <w:pStyle w:val="16"/>
        <w:wordWrap w:val="0"/>
        <w:spacing w:line="360" w:lineRule="auto"/>
        <w:ind w:firstLine="480" w:firstLineChars="200"/>
        <w:jc w:val="left"/>
        <w:rPr>
          <w:rFonts w:hAnsi="宋体"/>
          <w:color w:val="auto"/>
          <w:sz w:val="24"/>
        </w:rPr>
      </w:pPr>
      <w:r>
        <w:rPr>
          <w:rFonts w:hint="eastAsia" w:hAnsi="宋体"/>
          <w:color w:val="auto"/>
          <w:sz w:val="24"/>
        </w:rPr>
        <w:t>7.1至磋商响应截止时间5日（如至原定截止时间不足5日，则需延长截止时间）前，采购代理代理机构可主动或依报价人要求澄清的问题修改采购文件，但应当在原信息发布媒体上发布更正公告，并以书面形式通知所有采购文件收受人，报价人在收到该通知后应当立即以传真形式予以确认（如属网上采购项目，在采购公告原发布媒体及实施网上采购的网站发布更正公告，不再书面答复）。该修改内容为采购文件的组成部分，对报价人具有约束力。但本采购文件第7.2条规定的推迟响应截止时间情形不受本条约束。</w:t>
      </w:r>
    </w:p>
    <w:p>
      <w:pPr>
        <w:pStyle w:val="16"/>
        <w:wordWrap w:val="0"/>
        <w:spacing w:line="360" w:lineRule="auto"/>
        <w:ind w:firstLine="480" w:firstLineChars="200"/>
        <w:jc w:val="left"/>
        <w:rPr>
          <w:rFonts w:hAnsi="宋体"/>
          <w:color w:val="auto"/>
          <w:sz w:val="24"/>
        </w:rPr>
      </w:pPr>
      <w:r>
        <w:rPr>
          <w:rFonts w:hint="eastAsia" w:hAnsi="宋体"/>
          <w:color w:val="auto"/>
          <w:sz w:val="24"/>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pPr>
        <w:pStyle w:val="2"/>
        <w:wordWrap w:val="0"/>
        <w:spacing w:before="0" w:after="0" w:line="360" w:lineRule="auto"/>
        <w:rPr>
          <w:rFonts w:ascii="宋体" w:hAnsi="宋体"/>
          <w:color w:val="auto"/>
        </w:rPr>
      </w:pPr>
      <w:bookmarkStart w:id="120" w:name="_Toc11364"/>
      <w:bookmarkStart w:id="121" w:name="_Toc571"/>
      <w:bookmarkStart w:id="122" w:name="_Toc18570"/>
      <w:bookmarkStart w:id="123" w:name="_Toc14478"/>
      <w:bookmarkStart w:id="124" w:name="_Toc19623"/>
      <w:bookmarkStart w:id="125" w:name="_Toc10657"/>
      <w:bookmarkStart w:id="126" w:name="_Toc11880"/>
      <w:bookmarkStart w:id="127" w:name="_Toc504"/>
      <w:bookmarkStart w:id="128" w:name="_Toc78368522"/>
      <w:bookmarkStart w:id="129" w:name="_Toc67603071"/>
      <w:r>
        <w:rPr>
          <w:rFonts w:hint="eastAsia" w:ascii="宋体" w:hAnsi="宋体"/>
          <w:color w:val="auto"/>
        </w:rPr>
        <w:t>三、报价文件的编写</w:t>
      </w:r>
      <w:bookmarkEnd w:id="120"/>
      <w:bookmarkEnd w:id="121"/>
      <w:bookmarkEnd w:id="122"/>
      <w:bookmarkEnd w:id="123"/>
      <w:bookmarkEnd w:id="124"/>
      <w:bookmarkEnd w:id="125"/>
      <w:bookmarkEnd w:id="126"/>
      <w:bookmarkEnd w:id="127"/>
      <w:bookmarkEnd w:id="128"/>
      <w:bookmarkEnd w:id="129"/>
    </w:p>
    <w:p>
      <w:pPr>
        <w:pStyle w:val="4"/>
        <w:wordWrap w:val="0"/>
        <w:spacing w:before="0" w:after="0" w:line="360" w:lineRule="auto"/>
        <w:ind w:left="210"/>
        <w:rPr>
          <w:rFonts w:ascii="宋体" w:hAnsi="宋体"/>
          <w:color w:val="auto"/>
        </w:rPr>
      </w:pPr>
      <w:bookmarkStart w:id="130" w:name="_Toc67603072"/>
      <w:bookmarkStart w:id="131" w:name="_Toc17257"/>
      <w:bookmarkStart w:id="132" w:name="_Toc78368523"/>
      <w:r>
        <w:rPr>
          <w:rFonts w:hint="eastAsia" w:ascii="宋体" w:hAnsi="宋体"/>
          <w:color w:val="auto"/>
        </w:rPr>
        <w:t>8.要求</w:t>
      </w:r>
      <w:bookmarkEnd w:id="130"/>
      <w:bookmarkEnd w:id="131"/>
      <w:bookmarkEnd w:id="132"/>
    </w:p>
    <w:p>
      <w:pPr>
        <w:pStyle w:val="16"/>
        <w:wordWrap w:val="0"/>
        <w:spacing w:line="360" w:lineRule="auto"/>
        <w:ind w:firstLine="480"/>
        <w:jc w:val="left"/>
        <w:rPr>
          <w:rFonts w:hAnsi="宋体" w:cs="宋体"/>
          <w:color w:val="auto"/>
          <w:sz w:val="24"/>
        </w:rPr>
      </w:pPr>
      <w:r>
        <w:rPr>
          <w:rFonts w:hint="eastAsia" w:hAnsi="宋体" w:cs="宋体"/>
          <w:color w:val="auto"/>
          <w:sz w:val="24"/>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4"/>
        <w:wordWrap w:val="0"/>
        <w:spacing w:before="0" w:after="0" w:line="360" w:lineRule="auto"/>
        <w:ind w:left="210"/>
        <w:rPr>
          <w:rFonts w:ascii="宋体" w:hAnsi="宋体"/>
          <w:color w:val="auto"/>
        </w:rPr>
      </w:pPr>
      <w:bookmarkStart w:id="133" w:name="_Toc24465"/>
      <w:bookmarkStart w:id="134" w:name="_Toc67603073"/>
      <w:bookmarkStart w:id="135" w:name="_Toc78368524"/>
      <w:r>
        <w:rPr>
          <w:rFonts w:hint="eastAsia" w:ascii="宋体" w:hAnsi="宋体"/>
          <w:color w:val="auto"/>
        </w:rPr>
        <w:t>9.磋商报价文件语言及报价要求</w:t>
      </w:r>
      <w:bookmarkEnd w:id="133"/>
      <w:bookmarkEnd w:id="134"/>
      <w:bookmarkEnd w:id="135"/>
    </w:p>
    <w:p>
      <w:pPr>
        <w:pStyle w:val="16"/>
        <w:wordWrap w:val="0"/>
        <w:spacing w:line="360" w:lineRule="auto"/>
        <w:ind w:firstLine="480" w:firstLineChars="200"/>
        <w:jc w:val="left"/>
        <w:rPr>
          <w:rFonts w:hAnsi="宋体" w:cs="宋体"/>
          <w:b/>
          <w:color w:val="auto"/>
          <w:sz w:val="24"/>
        </w:rPr>
      </w:pPr>
      <w:r>
        <w:rPr>
          <w:rFonts w:hint="eastAsia" w:hAnsi="宋体" w:cs="宋体"/>
          <w:color w:val="auto"/>
          <w:sz w:val="24"/>
        </w:rPr>
        <w:t>9.1磋商报价文件应用中文书写。报价文件中所附或所引用的原件不是中文时，应附中文译文。各种计量单位及符号应采用国际上统一使用的公制计量单位和符号。</w:t>
      </w:r>
    </w:p>
    <w:p>
      <w:pPr>
        <w:pStyle w:val="4"/>
        <w:wordWrap w:val="0"/>
        <w:spacing w:before="0" w:after="0" w:line="360" w:lineRule="auto"/>
        <w:ind w:left="210"/>
        <w:rPr>
          <w:rFonts w:ascii="宋体" w:hAnsi="宋体"/>
          <w:color w:val="auto"/>
        </w:rPr>
      </w:pPr>
      <w:bookmarkStart w:id="136" w:name="_Toc16288"/>
      <w:bookmarkStart w:id="137" w:name="_Toc67603074"/>
      <w:bookmarkStart w:id="138" w:name="_Toc78368525"/>
      <w:r>
        <w:rPr>
          <w:rFonts w:hint="eastAsia" w:ascii="宋体" w:hAnsi="宋体"/>
          <w:color w:val="auto"/>
        </w:rPr>
        <w:t>10.磋商报价文件的组成</w:t>
      </w:r>
      <w:bookmarkEnd w:id="136"/>
      <w:bookmarkEnd w:id="137"/>
      <w:bookmarkEnd w:id="138"/>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10.1磋商报价文件应包括下列部分：</w:t>
      </w:r>
    </w:p>
    <w:p>
      <w:pPr>
        <w:wordWrap w:val="0"/>
        <w:spacing w:line="360" w:lineRule="auto"/>
        <w:ind w:left="480"/>
        <w:rPr>
          <w:rFonts w:ascii="宋体" w:hAnsi="宋体" w:cs="宋体"/>
          <w:color w:val="auto"/>
          <w:sz w:val="24"/>
          <w:szCs w:val="24"/>
        </w:rPr>
      </w:pPr>
      <w:bookmarkStart w:id="139" w:name="_Toc67603075"/>
      <w:bookmarkStart w:id="140" w:name="_Toc78368526"/>
      <w:bookmarkStart w:id="141" w:name="_Toc14669"/>
      <w:r>
        <w:rPr>
          <w:rFonts w:hint="eastAsia" w:ascii="宋体" w:hAnsi="宋体" w:cs="宋体"/>
          <w:color w:val="auto"/>
          <w:sz w:val="24"/>
          <w:szCs w:val="24"/>
          <w:lang w:bidi="ar"/>
        </w:rPr>
        <w:t>（1）磋商响应书</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（2）报价一览表</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（3）报价分项一览表</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（4）磋商响应供应商的资格证明文件</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（5）技术规格和商务偏离表</w:t>
      </w:r>
    </w:p>
    <w:p>
      <w:pPr>
        <w:wordWrap w:val="0"/>
        <w:spacing w:line="360" w:lineRule="auto"/>
        <w:ind w:left="480"/>
        <w:rPr>
          <w:rFonts w:ascii="宋体" w:hAnsi="宋体"/>
          <w:color w:val="auto"/>
          <w:lang w:bidi="ar"/>
        </w:rPr>
      </w:pPr>
      <w:r>
        <w:rPr>
          <w:rFonts w:hint="eastAsia" w:ascii="宋体" w:hAnsi="宋体" w:cs="宋体"/>
          <w:color w:val="auto"/>
          <w:sz w:val="24"/>
          <w:szCs w:val="24"/>
          <w:lang w:bidi="ar"/>
        </w:rPr>
        <w:t>（6）项目方案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（7）项目组配置方案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（8）磋商响应供应商提交的其他资料</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（9）技术商务评分响应索引表</w:t>
      </w:r>
    </w:p>
    <w:p>
      <w:pPr>
        <w:pStyle w:val="4"/>
        <w:wordWrap w:val="0"/>
        <w:spacing w:before="0" w:after="0" w:line="360" w:lineRule="auto"/>
        <w:ind w:left="210"/>
        <w:rPr>
          <w:rFonts w:ascii="宋体" w:hAnsi="宋体"/>
          <w:color w:val="auto"/>
        </w:rPr>
      </w:pPr>
      <w:r>
        <w:rPr>
          <w:rFonts w:hint="eastAsia" w:ascii="宋体" w:hAnsi="宋体"/>
          <w:color w:val="auto"/>
        </w:rPr>
        <w:t>11.磋商响应有效期</w:t>
      </w:r>
      <w:bookmarkEnd w:id="139"/>
      <w:bookmarkEnd w:id="140"/>
      <w:bookmarkEnd w:id="141"/>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11.1报价文件从</w:t>
      </w:r>
      <w:r>
        <w:rPr>
          <w:rFonts w:hint="eastAsia" w:hAnsi="宋体" w:cs="宋体"/>
          <w:bCs/>
          <w:color w:val="auto"/>
          <w:sz w:val="24"/>
        </w:rPr>
        <w:t>报价人须知前附表1</w:t>
      </w:r>
      <w:r>
        <w:rPr>
          <w:rFonts w:hint="eastAsia" w:hAnsi="宋体" w:cs="宋体"/>
          <w:color w:val="auto"/>
          <w:sz w:val="24"/>
        </w:rPr>
        <w:t>所规定的磋商响应截止期之日开始生效，在</w:t>
      </w:r>
      <w:r>
        <w:rPr>
          <w:rFonts w:hint="eastAsia" w:hAnsi="宋体" w:cs="宋体"/>
          <w:bCs/>
          <w:color w:val="auto"/>
          <w:sz w:val="24"/>
        </w:rPr>
        <w:t>报价人须知前附表</w:t>
      </w:r>
      <w:r>
        <w:rPr>
          <w:rFonts w:hint="eastAsia" w:hAnsi="宋体" w:cs="宋体"/>
          <w:color w:val="auto"/>
          <w:sz w:val="24"/>
        </w:rPr>
        <w:t>所规定的期限内保持有效。有效期不足将导致其报价文件被拒绝。</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szCs w:val="24"/>
        </w:rPr>
        <w:t>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w:t>
      </w:r>
    </w:p>
    <w:p>
      <w:pPr>
        <w:pStyle w:val="4"/>
        <w:wordWrap w:val="0"/>
        <w:spacing w:before="0" w:after="0" w:line="360" w:lineRule="auto"/>
        <w:ind w:left="210"/>
        <w:rPr>
          <w:rFonts w:ascii="宋体" w:hAnsi="宋体"/>
          <w:color w:val="auto"/>
        </w:rPr>
      </w:pPr>
      <w:bookmarkStart w:id="142" w:name="_Toc78368527"/>
      <w:bookmarkStart w:id="143" w:name="_Toc6248"/>
      <w:bookmarkStart w:id="144" w:name="_Toc67603076"/>
      <w:r>
        <w:rPr>
          <w:rFonts w:hint="eastAsia" w:ascii="宋体" w:hAnsi="宋体"/>
          <w:color w:val="auto"/>
        </w:rPr>
        <w:t>12.磋商保证金</w:t>
      </w:r>
      <w:bookmarkEnd w:id="142"/>
      <w:bookmarkEnd w:id="143"/>
      <w:bookmarkEnd w:id="144"/>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12.1磋商保证金为报价文件的组成部分之一。</w:t>
      </w:r>
    </w:p>
    <w:p>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12.2报价人应在提交报价文件之前向采购代理机构指定的保证金专户缴交报价人须知前附表要求的磋商保证金。联合体参加磋商的，可以由联合体中的一方或者共同提交磋商保证金，以一方名义提交磋商保证金的，对联合体各方均具有约束力。</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12.3磋商保证金用于保护本次磋商活动免受报价人的行为而引起的风险。</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12.4磋商保证金交纳方式及其它：</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②若项目存在分包的，则磋商保证金应按不同的合同包号分别提交。</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12.5未按要求提交磋商保证金的磋商响应，将被视为无效响应。</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12.6采购代理机构将在成交通知书发出之日起5个工作日内予以原额无息退还未成交供应商的磋商保证金。采购代理机构逾期未退还磋商保证金的，采购代理机构除应当退还磋商保证金本金外，还应当按商业银行同期一年期贷款基准利率上浮20%后的利率向报价人支付资金占用费。</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12.7在成交供应商支付所有采购代理服务费并签订合同后5个工作日内，采购代理机构对成交供应商的磋商保证金予以原额无息退还。</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12.8磋商保证金产生的银行利息统一上缴市财政。</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12.9发生以下情况之一的，磋商保证金将不予退还，由采购代理机构上缴财政部门：</w:t>
      </w:r>
    </w:p>
    <w:p>
      <w:pPr>
        <w:pStyle w:val="16"/>
        <w:wordWrap w:val="0"/>
        <w:spacing w:line="360" w:lineRule="auto"/>
        <w:jc w:val="left"/>
        <w:rPr>
          <w:rFonts w:hAnsi="宋体" w:cs="宋体"/>
          <w:color w:val="auto"/>
          <w:sz w:val="24"/>
        </w:rPr>
      </w:pPr>
      <w:r>
        <w:rPr>
          <w:rFonts w:hint="eastAsia" w:hAnsi="宋体" w:cs="宋体"/>
          <w:color w:val="auto"/>
          <w:sz w:val="24"/>
        </w:rPr>
        <w:t xml:space="preserve">   （1）报价人在磋商响应截止时间后，响应有效期内撤回磋商响应；</w:t>
      </w:r>
    </w:p>
    <w:p>
      <w:pPr>
        <w:pStyle w:val="16"/>
        <w:wordWrap w:val="0"/>
        <w:spacing w:line="360" w:lineRule="auto"/>
        <w:jc w:val="left"/>
        <w:rPr>
          <w:rFonts w:hAnsi="宋体" w:cs="宋体"/>
          <w:color w:val="auto"/>
          <w:sz w:val="24"/>
        </w:rPr>
      </w:pPr>
      <w:r>
        <w:rPr>
          <w:rFonts w:hint="eastAsia" w:hAnsi="宋体" w:cs="宋体"/>
          <w:color w:val="auto"/>
          <w:sz w:val="24"/>
        </w:rPr>
        <w:t xml:space="preserve">   （2）除因不可抗力或采购文件认可的情形外，成交供应商未能做到按本须知规定签订合同的；</w:t>
      </w:r>
    </w:p>
    <w:p>
      <w:pPr>
        <w:pStyle w:val="16"/>
        <w:wordWrap w:val="0"/>
        <w:spacing w:line="360" w:lineRule="auto"/>
        <w:jc w:val="left"/>
        <w:rPr>
          <w:rFonts w:hAnsi="宋体" w:cs="宋体"/>
          <w:color w:val="auto"/>
          <w:sz w:val="24"/>
        </w:rPr>
      </w:pPr>
      <w:r>
        <w:rPr>
          <w:rFonts w:hint="eastAsia" w:hAnsi="宋体" w:cs="宋体"/>
          <w:color w:val="auto"/>
          <w:sz w:val="24"/>
        </w:rPr>
        <w:t xml:space="preserve">   （3）成交供应商未按本须知规定缴纳采购代理服务费；</w:t>
      </w:r>
    </w:p>
    <w:p>
      <w:pPr>
        <w:pStyle w:val="16"/>
        <w:wordWrap w:val="0"/>
        <w:spacing w:line="360" w:lineRule="auto"/>
        <w:jc w:val="left"/>
        <w:rPr>
          <w:rFonts w:hAnsi="宋体" w:cs="宋体"/>
          <w:color w:val="auto"/>
          <w:sz w:val="24"/>
        </w:rPr>
      </w:pPr>
      <w:r>
        <w:rPr>
          <w:rFonts w:hint="eastAsia" w:hAnsi="宋体" w:cs="宋体"/>
          <w:color w:val="auto"/>
          <w:sz w:val="24"/>
        </w:rPr>
        <w:t xml:space="preserve">   （4）以他人名义参与磋商响应或者以其他方式弄虚作假，骗取成交的；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（5）报价人在报价文件中提供虚假材料的；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（6）在禁止参加政府采购活动的处罚期内，仍参加政府采购活动的；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（7）以不正当手段诋毁、排挤其他报价人的；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（8）因本项目政府采购过程中的违法行为，受到行政处罚的；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（9）与采购人、其他报价人或者采购代理机构恶意串通的；</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（10）法律、法规、规章及本采购文件中规定的其他没收磋商保证金的情形。</w:t>
      </w:r>
    </w:p>
    <w:p>
      <w:pPr>
        <w:pStyle w:val="16"/>
        <w:wordWrap w:val="0"/>
        <w:spacing w:line="360" w:lineRule="auto"/>
        <w:ind w:firstLine="360" w:firstLineChars="150"/>
        <w:jc w:val="left"/>
        <w:rPr>
          <w:rFonts w:hAnsi="宋体" w:cs="宋体"/>
          <w:color w:val="auto"/>
          <w:sz w:val="24"/>
        </w:rPr>
      </w:pPr>
      <w:r>
        <w:rPr>
          <w:rFonts w:hint="eastAsia" w:hAnsi="宋体" w:cs="宋体"/>
          <w:color w:val="auto"/>
          <w:sz w:val="24"/>
        </w:rPr>
        <w:t>上述不予退还磋商保证金的情形给采购单位造成损失的，相关责任人还应当承担赔偿责任。</w:t>
      </w:r>
    </w:p>
    <w:p>
      <w:pPr>
        <w:pStyle w:val="4"/>
        <w:wordWrap w:val="0"/>
        <w:spacing w:before="0" w:after="0" w:line="360" w:lineRule="auto"/>
        <w:ind w:left="210"/>
        <w:rPr>
          <w:rFonts w:ascii="宋体" w:hAnsi="宋体"/>
          <w:color w:val="auto"/>
        </w:rPr>
      </w:pPr>
      <w:bookmarkStart w:id="145" w:name="_Toc2470"/>
      <w:bookmarkStart w:id="146" w:name="_Toc78368528"/>
      <w:bookmarkStart w:id="147" w:name="_Toc67603077"/>
      <w:r>
        <w:rPr>
          <w:rFonts w:hint="eastAsia" w:ascii="宋体" w:hAnsi="宋体"/>
          <w:color w:val="auto"/>
        </w:rPr>
        <w:t>13.磋商报价文件的格式</w:t>
      </w:r>
      <w:bookmarkEnd w:id="145"/>
      <w:bookmarkEnd w:id="146"/>
      <w:bookmarkEnd w:id="147"/>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13.1报价人须编制由本须知第10条规定文件组成的</w:t>
      </w:r>
      <w:r>
        <w:rPr>
          <w:rFonts w:hint="eastAsia" w:hAnsi="宋体" w:cs="宋体"/>
          <w:b/>
          <w:bCs/>
          <w:color w:val="auto"/>
          <w:sz w:val="24"/>
          <w:u w:val="single"/>
        </w:rPr>
        <w:t>报价文件正本一份，副本二份</w:t>
      </w:r>
      <w:r>
        <w:rPr>
          <w:rFonts w:hint="eastAsia" w:hAnsi="宋体" w:cs="宋体"/>
          <w:color w:val="auto"/>
          <w:sz w:val="24"/>
        </w:rPr>
        <w:t>，正本用A4等标准幅面纸张打印装订，副本可使用正本的完整复印件，并在封面注明“正本”、“副本”字样。正本与副本如有不一致的，以正本为准。</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13.2报价文件应由报价人的法定代表人或授权代表签字并加盖公章，如由后者签字，应提供“法人授权委托书”。</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13.3除非另有规定或许可，磋商响应使用货币为人民币。</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13.4报价人应提交证明其拟供货物、服务、工程符合采购文件要求的技术报价文件，该文件可以是文字资料、图纸和数据，并须提供货物、服务、工程主要技术性能的详细描述。</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13.5采购文件的正本和全部副本均应使用不能擦去的墨料或墨水打印、书写或复印，并由法定代表人或其授权代表签署，盖报价人公章。</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13.6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13.7未按本须知规定的格式填写报价文件、报价文件字迹模糊不清的，其磋商响应将被拒绝。</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13.8所有资格证明文件复印件须加盖报价人公章。</w:t>
      </w:r>
    </w:p>
    <w:p>
      <w:pPr>
        <w:pStyle w:val="16"/>
        <w:wordWrap w:val="0"/>
        <w:spacing w:line="360" w:lineRule="auto"/>
        <w:ind w:firstLine="480" w:firstLineChars="200"/>
        <w:jc w:val="left"/>
        <w:rPr>
          <w:rFonts w:hAnsi="宋体" w:cs="宋体"/>
          <w:color w:val="auto"/>
          <w:sz w:val="24"/>
        </w:rPr>
      </w:pPr>
      <w:r>
        <w:rPr>
          <w:rFonts w:hint="eastAsia" w:hAnsi="宋体" w:cs="宋体"/>
          <w:color w:val="auto"/>
          <w:sz w:val="24"/>
        </w:rPr>
        <w:t>13.9报价人应将上述文件按顺序装订成册、打印页码，并编列报价文件目录、资料清单，由于装订不规范或编排顺序混乱而导致报价文件被误读或漏读，该磋商响应可能被视为无效响应或承担不利的评审结果。</w:t>
      </w:r>
    </w:p>
    <w:p>
      <w:pPr>
        <w:pStyle w:val="2"/>
        <w:wordWrap w:val="0"/>
        <w:spacing w:before="0" w:after="0" w:line="360" w:lineRule="auto"/>
        <w:rPr>
          <w:rFonts w:ascii="宋体" w:hAnsi="宋体"/>
          <w:b w:val="0"/>
          <w:color w:val="auto"/>
          <w:sz w:val="22"/>
          <w:szCs w:val="20"/>
        </w:rPr>
      </w:pPr>
      <w:bookmarkStart w:id="148" w:name="_Toc29365"/>
      <w:bookmarkStart w:id="149" w:name="_Toc13630"/>
      <w:bookmarkStart w:id="150" w:name="_Toc25178"/>
      <w:bookmarkStart w:id="151" w:name="_Toc4575"/>
      <w:bookmarkStart w:id="152" w:name="_Toc29036"/>
      <w:bookmarkStart w:id="153" w:name="_Toc2564"/>
      <w:bookmarkStart w:id="154" w:name="_Toc67603078"/>
      <w:bookmarkStart w:id="155" w:name="_Toc14309"/>
      <w:bookmarkStart w:id="156" w:name="_Toc78368529"/>
      <w:bookmarkStart w:id="157" w:name="_Toc2778"/>
      <w:r>
        <w:rPr>
          <w:rFonts w:hint="eastAsia" w:ascii="宋体" w:hAnsi="宋体"/>
          <w:color w:val="auto"/>
          <w:szCs w:val="24"/>
        </w:rPr>
        <w:t>四、报价文件的提交</w:t>
      </w:r>
      <w:bookmarkEnd w:id="148"/>
      <w:bookmarkEnd w:id="149"/>
      <w:bookmarkEnd w:id="150"/>
      <w:bookmarkEnd w:id="151"/>
      <w:bookmarkEnd w:id="152"/>
      <w:bookmarkEnd w:id="153"/>
      <w:bookmarkEnd w:id="154"/>
      <w:bookmarkEnd w:id="155"/>
      <w:bookmarkEnd w:id="156"/>
      <w:bookmarkEnd w:id="157"/>
    </w:p>
    <w:p>
      <w:pPr>
        <w:pStyle w:val="4"/>
        <w:wordWrap w:val="0"/>
        <w:spacing w:before="0" w:after="0" w:line="360" w:lineRule="auto"/>
        <w:ind w:left="210"/>
        <w:rPr>
          <w:rFonts w:ascii="宋体" w:hAnsi="宋体"/>
          <w:color w:val="auto"/>
        </w:rPr>
      </w:pPr>
      <w:bookmarkStart w:id="158" w:name="_Toc67603079"/>
      <w:bookmarkStart w:id="159" w:name="_Toc78368530"/>
      <w:bookmarkStart w:id="160" w:name="_Toc4617"/>
      <w:r>
        <w:rPr>
          <w:rFonts w:hint="eastAsia" w:ascii="宋体" w:hAnsi="宋体"/>
          <w:color w:val="auto"/>
        </w:rPr>
        <w:t>14.报价文件的密封、标记和递交</w:t>
      </w:r>
      <w:bookmarkEnd w:id="158"/>
      <w:bookmarkEnd w:id="159"/>
      <w:bookmarkEnd w:id="160"/>
    </w:p>
    <w:p>
      <w:pPr>
        <w:pStyle w:val="16"/>
        <w:wordWrap w:val="0"/>
        <w:spacing w:line="360" w:lineRule="auto"/>
        <w:ind w:firstLine="480" w:firstLineChars="200"/>
        <w:jc w:val="left"/>
        <w:rPr>
          <w:rFonts w:hAnsi="宋体"/>
          <w:color w:val="auto"/>
          <w:sz w:val="24"/>
        </w:rPr>
      </w:pPr>
      <w:r>
        <w:rPr>
          <w:rFonts w:hint="eastAsia" w:hAnsi="宋体"/>
          <w:color w:val="auto"/>
          <w:sz w:val="24"/>
        </w:rPr>
        <w:t>14.1报价人须编制由本须知第</w:t>
      </w:r>
      <w:r>
        <w:rPr>
          <w:rFonts w:hAnsi="宋体"/>
          <w:color w:val="auto"/>
          <w:sz w:val="24"/>
        </w:rPr>
        <w:t>10</w:t>
      </w:r>
      <w:r>
        <w:rPr>
          <w:rFonts w:hint="eastAsia" w:hAnsi="宋体"/>
          <w:color w:val="auto"/>
          <w:sz w:val="24"/>
        </w:rPr>
        <w:t>条规定文件组成的</w:t>
      </w:r>
      <w:r>
        <w:rPr>
          <w:rFonts w:hint="eastAsia" w:hAnsi="宋体"/>
          <w:b/>
          <w:bCs/>
          <w:color w:val="auto"/>
          <w:sz w:val="24"/>
          <w:u w:val="single"/>
        </w:rPr>
        <w:t>报价文件正本一份，副本二份</w:t>
      </w:r>
      <w:r>
        <w:rPr>
          <w:rFonts w:hint="eastAsia" w:hAnsi="宋体"/>
          <w:color w:val="auto"/>
          <w:sz w:val="24"/>
        </w:rPr>
        <w:t>，应将</w:t>
      </w:r>
      <w:r>
        <w:rPr>
          <w:rFonts w:hint="eastAsia" w:hAnsi="宋体"/>
          <w:b/>
          <w:bCs/>
          <w:color w:val="auto"/>
          <w:sz w:val="24"/>
        </w:rPr>
        <w:t>报价文件正本和副本分别用信封密封</w:t>
      </w:r>
      <w:r>
        <w:rPr>
          <w:rFonts w:hint="eastAsia" w:hAnsi="宋体"/>
          <w:color w:val="auto"/>
          <w:sz w:val="24"/>
        </w:rPr>
        <w:t>，并标明采购文件编号、报价人名称、采购项目名称及“正本”或“副本”。报价文件未密封可导致其磋商被拒绝。</w:t>
      </w:r>
    </w:p>
    <w:p>
      <w:pPr>
        <w:pStyle w:val="16"/>
        <w:wordWrap w:val="0"/>
        <w:spacing w:line="360" w:lineRule="auto"/>
        <w:ind w:firstLine="480" w:firstLineChars="200"/>
        <w:jc w:val="left"/>
        <w:rPr>
          <w:rFonts w:hAnsi="宋体"/>
          <w:color w:val="auto"/>
          <w:sz w:val="24"/>
        </w:rPr>
      </w:pPr>
      <w:r>
        <w:rPr>
          <w:rFonts w:hint="eastAsia" w:hAnsi="宋体"/>
          <w:color w:val="auto"/>
          <w:sz w:val="24"/>
        </w:rPr>
        <w:t>14.2每一信封密封处应注明</w:t>
      </w:r>
      <w:r>
        <w:rPr>
          <w:rFonts w:hint="eastAsia" w:hAnsi="宋体"/>
          <w:b/>
          <w:bCs/>
          <w:color w:val="auto"/>
          <w:sz w:val="24"/>
        </w:rPr>
        <w:t>“于</w:t>
      </w:r>
      <w:r>
        <w:rPr>
          <w:rFonts w:hint="eastAsia" w:hAnsi="宋体"/>
          <w:b/>
          <w:bCs/>
          <w:color w:val="auto"/>
          <w:sz w:val="24"/>
          <w:u w:val="single"/>
        </w:rPr>
        <w:t xml:space="preserve"> </w:t>
      </w:r>
      <w:r>
        <w:rPr>
          <w:rFonts w:hAnsi="宋体"/>
          <w:b/>
          <w:bCs/>
          <w:color w:val="auto"/>
          <w:sz w:val="24"/>
          <w:u w:val="single"/>
        </w:rPr>
        <w:t xml:space="preserve">     </w:t>
      </w:r>
      <w:r>
        <w:rPr>
          <w:rFonts w:hint="eastAsia" w:hAnsi="宋体"/>
          <w:b/>
          <w:bCs/>
          <w:color w:val="auto"/>
          <w:sz w:val="24"/>
        </w:rPr>
        <w:t>之前（指磋商邀请中规定的磋商日期及时间）不准启封”</w:t>
      </w:r>
      <w:r>
        <w:rPr>
          <w:rFonts w:hint="eastAsia" w:hAnsi="宋体"/>
          <w:color w:val="auto"/>
          <w:sz w:val="24"/>
        </w:rPr>
        <w:t xml:space="preserve">的字样，并加盖报价人公章或由磋商代表签字。     </w:t>
      </w:r>
    </w:p>
    <w:p>
      <w:pPr>
        <w:pStyle w:val="16"/>
        <w:wordWrap w:val="0"/>
        <w:spacing w:line="360" w:lineRule="auto"/>
        <w:ind w:firstLine="480" w:firstLineChars="200"/>
        <w:jc w:val="left"/>
        <w:rPr>
          <w:rFonts w:hAnsi="宋体"/>
          <w:color w:val="auto"/>
          <w:sz w:val="24"/>
        </w:rPr>
      </w:pPr>
      <w:r>
        <w:rPr>
          <w:rFonts w:hint="eastAsia" w:hAnsi="宋体"/>
          <w:color w:val="auto"/>
          <w:sz w:val="24"/>
        </w:rPr>
        <w:t>14.3如报价文件由邮局或专人送交，报价人应将报价文件按第14.1条至14.2条中的规定进行密封和标记后，按磋商邀请函注明的地址送至接收人。</w:t>
      </w:r>
    </w:p>
    <w:p>
      <w:pPr>
        <w:pStyle w:val="16"/>
        <w:wordWrap w:val="0"/>
        <w:spacing w:line="360" w:lineRule="auto"/>
        <w:ind w:firstLine="480" w:firstLineChars="200"/>
        <w:jc w:val="left"/>
        <w:rPr>
          <w:rFonts w:hAnsi="宋体"/>
          <w:color w:val="auto"/>
          <w:sz w:val="24"/>
        </w:rPr>
      </w:pPr>
      <w:r>
        <w:rPr>
          <w:rFonts w:hAnsi="宋体"/>
          <w:color w:val="auto"/>
          <w:sz w:val="24"/>
        </w:rPr>
        <w:t>1</w:t>
      </w:r>
      <w:r>
        <w:rPr>
          <w:rFonts w:hint="eastAsia" w:hAnsi="宋体"/>
          <w:color w:val="auto"/>
          <w:sz w:val="24"/>
        </w:rPr>
        <w:t>4.4</w:t>
      </w:r>
      <w:r>
        <w:rPr>
          <w:rFonts w:hAnsi="宋体"/>
          <w:color w:val="auto"/>
          <w:sz w:val="24"/>
        </w:rPr>
        <w:t>如果未按上述规定进行密封和标记，采购代理机构</w:t>
      </w:r>
      <w:r>
        <w:rPr>
          <w:rFonts w:hint="eastAsia" w:hAnsi="宋体"/>
          <w:color w:val="auto"/>
          <w:sz w:val="24"/>
        </w:rPr>
        <w:t>将不承担由此造成的对报价文件的误投或提前拆封的责任。</w:t>
      </w:r>
    </w:p>
    <w:p>
      <w:pPr>
        <w:pStyle w:val="16"/>
        <w:wordWrap w:val="0"/>
        <w:spacing w:line="360" w:lineRule="auto"/>
        <w:ind w:firstLine="480" w:firstLineChars="200"/>
        <w:jc w:val="left"/>
        <w:rPr>
          <w:rFonts w:hAnsi="宋体"/>
          <w:color w:val="auto"/>
          <w:sz w:val="24"/>
        </w:rPr>
      </w:pPr>
      <w:r>
        <w:rPr>
          <w:rFonts w:hint="eastAsia" w:hAnsi="宋体"/>
          <w:color w:val="auto"/>
          <w:sz w:val="24"/>
        </w:rPr>
        <w:t>14.5报价文件应在磋商邀请中规定的截止时间前送达，迟到的报价文件为无效报价文件，将被拒绝。</w:t>
      </w:r>
    </w:p>
    <w:p>
      <w:pPr>
        <w:pStyle w:val="16"/>
        <w:wordWrap w:val="0"/>
        <w:spacing w:line="360" w:lineRule="auto"/>
        <w:ind w:firstLine="480" w:firstLineChars="200"/>
        <w:jc w:val="left"/>
        <w:rPr>
          <w:rFonts w:hAnsi="宋体"/>
          <w:color w:val="auto"/>
          <w:sz w:val="24"/>
        </w:rPr>
      </w:pPr>
      <w:r>
        <w:rPr>
          <w:rFonts w:hint="eastAsia" w:hAnsi="宋体"/>
          <w:color w:val="auto"/>
          <w:sz w:val="24"/>
        </w:rPr>
        <w:t>14.6报价人在磋商响应截止时间前，可以对所提交的采购文件进行修改或者撤回，并书面通知采购代理机构。修改的内容和撤回通知应当按本须知要求签署、盖章、密封，并作为报价文件的组成部分。</w:t>
      </w:r>
    </w:p>
    <w:p>
      <w:pPr>
        <w:pStyle w:val="16"/>
        <w:wordWrap w:val="0"/>
        <w:spacing w:line="360" w:lineRule="auto"/>
        <w:ind w:firstLine="480" w:firstLineChars="200"/>
        <w:jc w:val="left"/>
        <w:rPr>
          <w:rFonts w:hAnsi="宋体"/>
          <w:color w:val="auto"/>
          <w:sz w:val="24"/>
        </w:rPr>
      </w:pPr>
      <w:r>
        <w:rPr>
          <w:rFonts w:hint="eastAsia" w:hAnsi="宋体"/>
          <w:color w:val="auto"/>
          <w:sz w:val="24"/>
        </w:rPr>
        <w:t>14.7报价人在磋商响应截止期后不得修改、撤回报价文件。报价人在报价截止期后修改报价文件的，其磋商响应将被拒绝。</w:t>
      </w:r>
    </w:p>
    <w:p>
      <w:pPr>
        <w:pStyle w:val="2"/>
        <w:wordWrap w:val="0"/>
        <w:spacing w:before="0" w:after="0" w:line="360" w:lineRule="auto"/>
        <w:rPr>
          <w:rFonts w:ascii="宋体" w:hAnsi="宋体"/>
          <w:color w:val="auto"/>
        </w:rPr>
      </w:pPr>
      <w:bookmarkStart w:id="161" w:name="_Toc23394"/>
      <w:bookmarkStart w:id="162" w:name="_Toc805"/>
      <w:bookmarkStart w:id="163" w:name="_Toc9435"/>
      <w:bookmarkStart w:id="164" w:name="_Toc7029"/>
      <w:bookmarkStart w:id="165" w:name="_Toc32293"/>
      <w:bookmarkStart w:id="166" w:name="_Toc78368531"/>
      <w:bookmarkStart w:id="167" w:name="_Toc1590"/>
      <w:bookmarkStart w:id="168" w:name="_Toc67603080"/>
      <w:bookmarkStart w:id="169" w:name="_Toc23346"/>
      <w:bookmarkStart w:id="170" w:name="_Toc18705"/>
      <w:r>
        <w:rPr>
          <w:rFonts w:hint="eastAsia" w:ascii="宋体" w:hAnsi="宋体"/>
          <w:color w:val="auto"/>
        </w:rPr>
        <w:t>五、报价文件的评估和比较</w:t>
      </w:r>
      <w:bookmarkEnd w:id="161"/>
      <w:bookmarkEnd w:id="162"/>
      <w:bookmarkEnd w:id="163"/>
      <w:bookmarkEnd w:id="164"/>
      <w:bookmarkEnd w:id="165"/>
      <w:bookmarkEnd w:id="166"/>
      <w:bookmarkEnd w:id="167"/>
      <w:bookmarkEnd w:id="168"/>
      <w:bookmarkEnd w:id="169"/>
      <w:bookmarkEnd w:id="170"/>
    </w:p>
    <w:p>
      <w:pPr>
        <w:pStyle w:val="4"/>
        <w:wordWrap w:val="0"/>
        <w:spacing w:before="0" w:after="0" w:line="360" w:lineRule="auto"/>
        <w:ind w:left="210"/>
        <w:rPr>
          <w:rFonts w:ascii="宋体" w:hAnsi="宋体"/>
          <w:color w:val="auto"/>
        </w:rPr>
      </w:pPr>
      <w:bookmarkStart w:id="171" w:name="_Toc67603081"/>
      <w:bookmarkStart w:id="172" w:name="_Toc14156"/>
      <w:bookmarkStart w:id="173" w:name="_Toc78368532"/>
      <w:r>
        <w:rPr>
          <w:rFonts w:hint="eastAsia" w:ascii="宋体" w:hAnsi="宋体"/>
          <w:color w:val="auto"/>
        </w:rPr>
        <w:t>15.磋商时间</w:t>
      </w:r>
      <w:bookmarkEnd w:id="171"/>
      <w:bookmarkEnd w:id="172"/>
      <w:bookmarkEnd w:id="173"/>
    </w:p>
    <w:p>
      <w:pPr>
        <w:pStyle w:val="16"/>
        <w:wordWrap w:val="0"/>
        <w:spacing w:line="360" w:lineRule="auto"/>
        <w:ind w:firstLine="480" w:firstLineChars="200"/>
        <w:jc w:val="left"/>
        <w:rPr>
          <w:rFonts w:hAnsi="宋体"/>
          <w:color w:val="auto"/>
          <w:sz w:val="24"/>
        </w:rPr>
      </w:pPr>
      <w:r>
        <w:rPr>
          <w:rFonts w:hint="eastAsia" w:hAnsi="宋体"/>
          <w:color w:val="auto"/>
          <w:sz w:val="24"/>
        </w:rPr>
        <w:t>15.1在报价人须知前附表中所规定的时间、地点磋商（如有推迟情形，以推迟后的时间、地点为准）。</w:t>
      </w:r>
    </w:p>
    <w:p>
      <w:pPr>
        <w:pStyle w:val="16"/>
        <w:wordWrap w:val="0"/>
        <w:spacing w:line="360" w:lineRule="auto"/>
        <w:jc w:val="left"/>
        <w:rPr>
          <w:rFonts w:hAnsi="宋体"/>
          <w:color w:val="auto"/>
          <w:sz w:val="24"/>
        </w:rPr>
      </w:pPr>
      <w:r>
        <w:rPr>
          <w:rFonts w:hint="eastAsia" w:hAnsi="宋体"/>
          <w:color w:val="auto"/>
          <w:sz w:val="24"/>
        </w:rPr>
        <w:t xml:space="preserve">    15.2磋商由采购代理机构主持，邀请采购人、报价人和有关方面代表参加。报价人一般应派授权代表参加磋商，并办理签到手续。</w:t>
      </w:r>
    </w:p>
    <w:p>
      <w:pPr>
        <w:pStyle w:val="4"/>
        <w:wordWrap w:val="0"/>
        <w:spacing w:before="0" w:after="0" w:line="360" w:lineRule="auto"/>
        <w:ind w:left="210"/>
        <w:rPr>
          <w:rFonts w:ascii="宋体" w:hAnsi="宋体"/>
          <w:color w:val="auto"/>
        </w:rPr>
      </w:pPr>
      <w:bookmarkStart w:id="174" w:name="_Toc78368533"/>
      <w:bookmarkStart w:id="175" w:name="_Toc67603082"/>
      <w:bookmarkStart w:id="176" w:name="_Toc22736"/>
      <w:r>
        <w:rPr>
          <w:rFonts w:hint="eastAsia" w:ascii="宋体" w:hAnsi="宋体"/>
          <w:color w:val="auto"/>
        </w:rPr>
        <w:t>16.</w:t>
      </w:r>
      <w:r>
        <w:rPr>
          <w:rFonts w:ascii="宋体" w:hAnsi="宋体"/>
          <w:color w:val="auto"/>
        </w:rPr>
        <w:t>磋商</w:t>
      </w:r>
      <w:r>
        <w:rPr>
          <w:rFonts w:hint="eastAsia" w:ascii="宋体" w:hAnsi="宋体"/>
          <w:color w:val="auto"/>
        </w:rPr>
        <w:t>小组</w:t>
      </w:r>
      <w:bookmarkEnd w:id="174"/>
      <w:bookmarkEnd w:id="175"/>
      <w:bookmarkEnd w:id="176"/>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16</w:t>
      </w:r>
      <w:r>
        <w:rPr>
          <w:rFonts w:ascii="宋体" w:hAnsi="宋体"/>
          <w:color w:val="auto"/>
          <w:sz w:val="24"/>
          <w:szCs w:val="24"/>
        </w:rPr>
        <w:t>.1采购代理机构将根据项目的特点及相关规定组建磋商小组，</w:t>
      </w:r>
      <w:r>
        <w:rPr>
          <w:rFonts w:ascii="宋体" w:hAnsi="宋体" w:cs="Arial"/>
          <w:color w:val="auto"/>
          <w:sz w:val="24"/>
          <w:szCs w:val="24"/>
        </w:rPr>
        <w:t>磋商小组由技术、经济、法律方面的专家和</w:t>
      </w:r>
      <w:r>
        <w:rPr>
          <w:rFonts w:hint="eastAsia" w:ascii="宋体" w:hAnsi="宋体" w:cs="Arial"/>
          <w:color w:val="auto"/>
          <w:sz w:val="24"/>
          <w:szCs w:val="24"/>
        </w:rPr>
        <w:t>采购人</w:t>
      </w:r>
      <w:r>
        <w:rPr>
          <w:rFonts w:ascii="宋体" w:hAnsi="宋体" w:cs="Arial"/>
          <w:color w:val="auto"/>
          <w:sz w:val="24"/>
          <w:szCs w:val="24"/>
        </w:rPr>
        <w:t>代表组成。成员为</w:t>
      </w:r>
      <w:r>
        <w:rPr>
          <w:rFonts w:hint="eastAsia" w:ascii="宋体" w:hAnsi="宋体" w:cs="Arial"/>
          <w:color w:val="auto"/>
          <w:sz w:val="24"/>
          <w:szCs w:val="24"/>
        </w:rPr>
        <w:t>3</w:t>
      </w:r>
      <w:r>
        <w:rPr>
          <w:rFonts w:ascii="宋体" w:hAnsi="宋体" w:cs="Arial"/>
          <w:color w:val="auto"/>
          <w:sz w:val="24"/>
          <w:szCs w:val="24"/>
        </w:rPr>
        <w:t>人及以上单数组成，专家不能少于三分之二。</w:t>
      </w:r>
      <w:r>
        <w:rPr>
          <w:rFonts w:ascii="宋体" w:hAnsi="宋体"/>
          <w:color w:val="auto"/>
          <w:sz w:val="24"/>
          <w:szCs w:val="24"/>
        </w:rPr>
        <w:t>磋商小组将对磋商报价文件进行审查、质疑、评估和比较，进行磋商并做出授予合同的建议。</w:t>
      </w:r>
    </w:p>
    <w:p>
      <w:pPr>
        <w:pStyle w:val="4"/>
        <w:wordWrap w:val="0"/>
        <w:spacing w:before="0" w:after="0" w:line="360" w:lineRule="auto"/>
        <w:ind w:left="210"/>
        <w:rPr>
          <w:rFonts w:ascii="宋体" w:hAnsi="宋体"/>
          <w:color w:val="auto"/>
        </w:rPr>
      </w:pPr>
      <w:bookmarkStart w:id="177" w:name="_Toc32023"/>
      <w:bookmarkStart w:id="178" w:name="_Toc67603083"/>
      <w:bookmarkStart w:id="179" w:name="_Toc78368534"/>
      <w:r>
        <w:rPr>
          <w:rFonts w:hint="eastAsia" w:ascii="宋体" w:hAnsi="宋体"/>
          <w:color w:val="auto"/>
        </w:rPr>
        <w:t>17.报价文件的初审</w:t>
      </w:r>
      <w:bookmarkEnd w:id="177"/>
      <w:bookmarkEnd w:id="178"/>
      <w:bookmarkEnd w:id="179"/>
    </w:p>
    <w:p>
      <w:pPr>
        <w:wordWrap w:val="0"/>
        <w:spacing w:line="360" w:lineRule="auto"/>
        <w:ind w:firstLine="480" w:firstLineChars="200"/>
        <w:rPr>
          <w:rFonts w:ascii="宋体" w:hAnsi="宋体"/>
          <w:color w:val="auto"/>
          <w:sz w:val="24"/>
        </w:rPr>
      </w:pPr>
      <w:r>
        <w:rPr>
          <w:rFonts w:hint="eastAsia" w:ascii="宋体" w:hAnsi="宋体"/>
          <w:color w:val="auto"/>
          <w:sz w:val="24"/>
        </w:rPr>
        <w:t>对所有报价人的评估，都采用相同的程序和标准。评议过程将严格按照采购文件的要求和条件进行。</w:t>
      </w:r>
    </w:p>
    <w:p>
      <w:pPr>
        <w:wordWrap w:val="0"/>
        <w:spacing w:line="360" w:lineRule="auto"/>
        <w:ind w:firstLine="480" w:firstLineChars="200"/>
        <w:rPr>
          <w:rFonts w:ascii="宋体" w:hAnsi="宋体"/>
          <w:color w:val="auto"/>
          <w:sz w:val="24"/>
        </w:rPr>
      </w:pPr>
      <w:r>
        <w:rPr>
          <w:rFonts w:hint="eastAsia" w:ascii="宋体" w:hAnsi="宋体"/>
          <w:color w:val="auto"/>
          <w:sz w:val="24"/>
        </w:rPr>
        <w:t>有关报价文件的审查、澄清、评估和比较以及推荐成交候选人的一切情况都不得透露给任一报价人或与上诉磋商工作无关的人员。</w:t>
      </w:r>
    </w:p>
    <w:p>
      <w:pPr>
        <w:wordWrap w:val="0"/>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报价人任何试图影响磋商小组对报价文件的评审、比较或者推荐候选人的行为，都将导致其磋商响应被拒绝，并被没收磋商保证金。</w:t>
      </w:r>
    </w:p>
    <w:p>
      <w:pPr>
        <w:wordWrap w:val="0"/>
        <w:spacing w:line="360" w:lineRule="auto"/>
        <w:ind w:firstLine="480" w:firstLineChars="200"/>
        <w:rPr>
          <w:rFonts w:ascii="宋体" w:hAnsi="宋体"/>
          <w:color w:val="auto"/>
          <w:sz w:val="24"/>
        </w:rPr>
      </w:pPr>
      <w:r>
        <w:rPr>
          <w:rFonts w:hint="eastAsia" w:ascii="宋体" w:hAnsi="宋体"/>
          <w:color w:val="auto"/>
          <w:sz w:val="24"/>
        </w:rPr>
        <w:t>17.</w:t>
      </w:r>
      <w:r>
        <w:rPr>
          <w:rFonts w:ascii="宋体" w:hAnsi="宋体"/>
          <w:color w:val="auto"/>
          <w:sz w:val="24"/>
        </w:rPr>
        <w:t>1</w:t>
      </w:r>
      <w:r>
        <w:rPr>
          <w:rFonts w:hint="eastAsia" w:ascii="宋体" w:hAnsi="宋体"/>
          <w:color w:val="auto"/>
          <w:sz w:val="24"/>
        </w:rPr>
        <w:t xml:space="preserve">磋商小组将对报价文件进行审查，以确定报价文件是否完整、有无计算上的错误、是否提交了磋商保证金、文件是否已正确签署。 </w:t>
      </w:r>
    </w:p>
    <w:p>
      <w:pPr>
        <w:wordWrap w:val="0"/>
        <w:spacing w:line="360" w:lineRule="auto"/>
        <w:ind w:firstLine="480" w:firstLineChars="200"/>
        <w:rPr>
          <w:rFonts w:ascii="宋体" w:hAnsi="宋体"/>
          <w:color w:val="auto"/>
          <w:sz w:val="24"/>
        </w:rPr>
      </w:pPr>
      <w:r>
        <w:rPr>
          <w:rFonts w:hint="eastAsia" w:ascii="宋体" w:hAnsi="宋体"/>
          <w:color w:val="auto"/>
          <w:sz w:val="24"/>
        </w:rPr>
        <w:t>17.2算术错误将按以下方法更正：</w:t>
      </w:r>
    </w:p>
    <w:p>
      <w:pPr>
        <w:wordWrap w:val="0"/>
        <w:spacing w:line="360" w:lineRule="auto"/>
        <w:ind w:firstLine="480" w:firstLineChars="200"/>
        <w:rPr>
          <w:rFonts w:ascii="宋体" w:hAnsi="宋体"/>
          <w:color w:val="auto"/>
          <w:sz w:val="24"/>
        </w:rPr>
      </w:pPr>
      <w:r>
        <w:rPr>
          <w:rFonts w:hint="eastAsia" w:ascii="宋体" w:hAnsi="宋体"/>
          <w:color w:val="auto"/>
          <w:sz w:val="24"/>
        </w:rPr>
        <w:t>(1)报价文件中报价一览表内容与报价文件中明细表内容不一致的，以报价一览表为准。</w:t>
      </w:r>
    </w:p>
    <w:p>
      <w:pPr>
        <w:wordWrap w:val="0"/>
        <w:spacing w:line="360" w:lineRule="auto"/>
        <w:ind w:firstLine="480" w:firstLineChars="200"/>
        <w:rPr>
          <w:rFonts w:ascii="宋体" w:hAnsi="宋体"/>
          <w:color w:val="auto"/>
          <w:sz w:val="24"/>
        </w:rPr>
      </w:pPr>
      <w:r>
        <w:rPr>
          <w:rFonts w:hint="eastAsia" w:ascii="宋体" w:hAnsi="宋体"/>
          <w:color w:val="auto"/>
          <w:sz w:val="24"/>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如果报价人不接受按上述方法对报价文件中的算术错误进行更正，其响应将被拒绝并没收其磋商保证金。</w:t>
      </w:r>
    </w:p>
    <w:p>
      <w:pPr>
        <w:wordWrap w:val="0"/>
        <w:spacing w:line="360" w:lineRule="auto"/>
        <w:ind w:firstLine="480" w:firstLineChars="200"/>
        <w:rPr>
          <w:rFonts w:ascii="宋体" w:hAnsi="宋体"/>
          <w:color w:val="auto"/>
          <w:sz w:val="24"/>
        </w:rPr>
      </w:pPr>
      <w:r>
        <w:rPr>
          <w:rFonts w:hint="eastAsia" w:ascii="宋体" w:hAnsi="宋体"/>
          <w:color w:val="auto"/>
          <w:sz w:val="24"/>
        </w:rPr>
        <w:t>17.3</w:t>
      </w:r>
      <w:r>
        <w:rPr>
          <w:rFonts w:hint="eastAsia" w:ascii="宋体" w:hAnsi="宋体"/>
          <w:color w:val="auto"/>
          <w:sz w:val="24"/>
          <w:szCs w:val="18"/>
        </w:rPr>
        <w:t>资格性检查和符合性检查</w:t>
      </w:r>
    </w:p>
    <w:p>
      <w:pPr>
        <w:wordWrap w:val="0"/>
        <w:spacing w:line="360" w:lineRule="auto"/>
        <w:rPr>
          <w:rFonts w:ascii="宋体" w:hAnsi="宋体"/>
          <w:color w:val="auto"/>
          <w:sz w:val="24"/>
        </w:rPr>
      </w:pPr>
      <w:r>
        <w:rPr>
          <w:rFonts w:hint="eastAsia" w:ascii="宋体" w:hAnsi="宋体"/>
          <w:color w:val="auto"/>
          <w:sz w:val="24"/>
        </w:rPr>
        <w:t xml:space="preserve">    17.3.1</w:t>
      </w:r>
      <w:r>
        <w:rPr>
          <w:rFonts w:hint="eastAsia" w:ascii="宋体" w:hAnsi="宋体"/>
          <w:color w:val="auto"/>
          <w:sz w:val="24"/>
          <w:szCs w:val="18"/>
        </w:rPr>
        <w:t>资格性检查。依据法律法规和采购文件的规定，</w:t>
      </w:r>
      <w:r>
        <w:rPr>
          <w:rFonts w:hint="eastAsia" w:ascii="宋体" w:hAnsi="宋体"/>
          <w:color w:val="auto"/>
          <w:sz w:val="24"/>
        </w:rPr>
        <w:t>在对报价文件详细评估之前，磋商小组将依据报价人提交的报价文件按报价人须知前附表2所述的资格性要求对报价人</w:t>
      </w:r>
      <w:r>
        <w:rPr>
          <w:rFonts w:hint="eastAsia" w:ascii="宋体" w:hAnsi="宋体"/>
          <w:color w:val="auto"/>
          <w:sz w:val="24"/>
          <w:szCs w:val="18"/>
        </w:rPr>
        <w:t xml:space="preserve">进行资格审查, </w:t>
      </w:r>
      <w:r>
        <w:rPr>
          <w:rFonts w:hint="eastAsia" w:ascii="宋体" w:hAnsi="宋体"/>
          <w:color w:val="auto"/>
          <w:sz w:val="24"/>
        </w:rPr>
        <w:t>以确定其</w:t>
      </w:r>
      <w:r>
        <w:rPr>
          <w:rFonts w:hint="eastAsia" w:ascii="宋体" w:hAnsi="宋体"/>
          <w:color w:val="auto"/>
          <w:sz w:val="24"/>
          <w:szCs w:val="18"/>
        </w:rPr>
        <w:t>是否具备磋商资格</w:t>
      </w:r>
      <w:r>
        <w:rPr>
          <w:rFonts w:hint="eastAsia" w:ascii="宋体" w:hAnsi="宋体"/>
          <w:color w:val="auto"/>
          <w:sz w:val="24"/>
        </w:rPr>
        <w:t>。如果报价人不具备磋商资格，不满足采购文件所规定的资格标准或提供资格证明文件不全的, 其磋商响应将被拒绝。</w:t>
      </w:r>
    </w:p>
    <w:p>
      <w:pPr>
        <w:wordWrap w:val="0"/>
        <w:spacing w:line="360" w:lineRule="auto"/>
        <w:ind w:left="31" w:leftChars="15"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w:t>
      </w:r>
      <w:r>
        <w:rPr>
          <w:rFonts w:hint="eastAsia" w:ascii="宋体" w:hAnsi="宋体"/>
          <w:color w:val="auto"/>
          <w:sz w:val="24"/>
        </w:rPr>
        <w:t>3.2</w:t>
      </w:r>
      <w:r>
        <w:rPr>
          <w:rFonts w:hint="eastAsia" w:ascii="宋体" w:hAnsi="宋体"/>
          <w:color w:val="auto"/>
          <w:sz w:val="24"/>
          <w:szCs w:val="18"/>
        </w:rPr>
        <w:t>符合性检查。依据采购文件的规定，</w:t>
      </w:r>
      <w:r>
        <w:rPr>
          <w:rFonts w:hint="eastAsia" w:ascii="宋体" w:hAnsi="宋体"/>
          <w:color w:val="auto"/>
          <w:sz w:val="24"/>
        </w:rPr>
        <w:t>磋商小组还将</w:t>
      </w:r>
      <w:r>
        <w:rPr>
          <w:rFonts w:hint="eastAsia" w:ascii="宋体" w:hAnsi="宋体"/>
          <w:color w:val="auto"/>
          <w:sz w:val="24"/>
          <w:szCs w:val="18"/>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auto"/>
          <w:sz w:val="24"/>
        </w:rPr>
        <w:t>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wordWrap w:val="0"/>
        <w:spacing w:line="360" w:lineRule="auto"/>
        <w:ind w:left="69" w:firstLine="480" w:firstLineChars="200"/>
        <w:rPr>
          <w:rFonts w:ascii="宋体" w:hAnsi="宋体"/>
          <w:color w:val="auto"/>
          <w:sz w:val="24"/>
        </w:rPr>
      </w:pPr>
      <w:r>
        <w:rPr>
          <w:rFonts w:hint="eastAsia" w:ascii="宋体" w:hAnsi="宋体"/>
          <w:color w:val="auto"/>
          <w:sz w:val="24"/>
        </w:rPr>
        <w:t>(1)磋商报价文件未按照本须知规定进行密封、标记的；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(2)未按规定由报价人的法定代表人或其授权代表签字；或未加盖报价人公章的；或签字人未提供法人有效授权委托书的；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(3)未按规定提交磋商保证金的；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(4)磋商响应有效期不满足采购文件要求的；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(5)报价文件内容与采购文件内容及要求有重大偏离或保留的；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(6)报价人提交的是可选择的报价；</w:t>
      </w:r>
    </w:p>
    <w:p>
      <w:pPr>
        <w:wordWrap w:val="0"/>
        <w:spacing w:line="360" w:lineRule="auto"/>
        <w:ind w:left="69" w:firstLine="480" w:firstLineChars="200"/>
        <w:rPr>
          <w:rFonts w:ascii="宋体" w:hAnsi="宋体"/>
          <w:color w:val="auto"/>
          <w:sz w:val="24"/>
        </w:rPr>
      </w:pPr>
      <w:r>
        <w:rPr>
          <w:rFonts w:hint="eastAsia" w:ascii="宋体" w:hAnsi="宋体"/>
          <w:color w:val="auto"/>
          <w:sz w:val="24"/>
        </w:rPr>
        <w:t>(7)报价人未按采购文件要求进行分项报价；</w:t>
      </w:r>
    </w:p>
    <w:p>
      <w:pPr>
        <w:wordWrap w:val="0"/>
        <w:spacing w:line="360" w:lineRule="auto"/>
        <w:ind w:left="69" w:firstLine="480" w:firstLineChars="200"/>
        <w:rPr>
          <w:rFonts w:ascii="宋体" w:hAnsi="宋体"/>
          <w:color w:val="auto"/>
          <w:sz w:val="24"/>
        </w:rPr>
      </w:pPr>
      <w:r>
        <w:rPr>
          <w:rFonts w:hint="eastAsia" w:ascii="宋体" w:hAnsi="宋体"/>
          <w:color w:val="auto"/>
          <w:sz w:val="24"/>
        </w:rPr>
        <w:t>(8)报价文件中提供虚假或失实资料的；</w:t>
      </w:r>
    </w:p>
    <w:p>
      <w:pPr>
        <w:wordWrap w:val="0"/>
        <w:spacing w:line="360" w:lineRule="auto"/>
        <w:ind w:left="69" w:firstLine="480" w:firstLineChars="200"/>
        <w:rPr>
          <w:rFonts w:ascii="宋体" w:hAnsi="宋体"/>
          <w:color w:val="auto"/>
          <w:sz w:val="24"/>
        </w:rPr>
      </w:pPr>
      <w:r>
        <w:rPr>
          <w:rFonts w:hint="eastAsia" w:ascii="宋体" w:hAnsi="宋体"/>
          <w:color w:val="auto"/>
          <w:sz w:val="24"/>
        </w:rPr>
        <w:t xml:space="preserve">(9)不符合采购文件中规定的其它实质性条款。 </w:t>
      </w:r>
    </w:p>
    <w:p>
      <w:pPr>
        <w:wordWrap w:val="0"/>
        <w:spacing w:line="360" w:lineRule="auto"/>
        <w:ind w:left="69" w:leftChars="33" w:firstLine="480" w:firstLineChars="200"/>
        <w:rPr>
          <w:rFonts w:ascii="宋体" w:hAnsi="宋体"/>
          <w:color w:val="auto"/>
          <w:sz w:val="24"/>
          <w:szCs w:val="24"/>
        </w:rPr>
      </w:pPr>
      <w:r>
        <w:rPr>
          <w:rFonts w:hint="eastAsia" w:ascii="宋体" w:hAnsi="宋体"/>
          <w:color w:val="auto"/>
          <w:sz w:val="24"/>
          <w:szCs w:val="24"/>
        </w:rPr>
        <w:t>磋商小组决定报价的响应性只根据报价文件本身的内容，而不寻求其他的外部证据。</w:t>
      </w:r>
    </w:p>
    <w:p>
      <w:pPr>
        <w:pStyle w:val="16"/>
        <w:wordWrap w:val="0"/>
        <w:spacing w:line="360" w:lineRule="auto"/>
        <w:ind w:firstLine="480" w:firstLineChars="200"/>
        <w:jc w:val="left"/>
        <w:rPr>
          <w:rFonts w:hAnsi="宋体"/>
          <w:color w:val="auto"/>
          <w:sz w:val="24"/>
        </w:rPr>
      </w:pPr>
      <w:r>
        <w:rPr>
          <w:rFonts w:hint="eastAsia" w:hAnsi="宋体"/>
          <w:color w:val="auto"/>
          <w:sz w:val="24"/>
        </w:rPr>
        <w:t>17.4</w:t>
      </w:r>
      <w:r>
        <w:rPr>
          <w:rFonts w:hAnsi="宋体"/>
          <w:color w:val="auto"/>
          <w:sz w:val="24"/>
        </w:rPr>
        <w:t>报价人提交的报价文件将给予保密，但不予退回。</w:t>
      </w:r>
    </w:p>
    <w:p>
      <w:pPr>
        <w:pStyle w:val="16"/>
        <w:wordWrap w:val="0"/>
        <w:spacing w:line="360" w:lineRule="auto"/>
        <w:ind w:firstLine="480" w:firstLineChars="200"/>
        <w:jc w:val="left"/>
        <w:rPr>
          <w:rFonts w:hAnsi="宋体"/>
          <w:color w:val="auto"/>
          <w:sz w:val="24"/>
        </w:rPr>
      </w:pPr>
      <w:r>
        <w:rPr>
          <w:rFonts w:hint="eastAsia" w:hAnsi="宋体"/>
          <w:color w:val="auto"/>
          <w:sz w:val="24"/>
        </w:rPr>
        <w:t>17.5报价人资格和报价产品均必须满足中华人民共和国相关法律法规及行业的强制性要求，否则将作无效响应处理。</w:t>
      </w:r>
    </w:p>
    <w:p>
      <w:pPr>
        <w:pStyle w:val="4"/>
        <w:wordWrap w:val="0"/>
        <w:spacing w:before="0" w:after="0" w:line="360" w:lineRule="auto"/>
        <w:ind w:left="210"/>
        <w:rPr>
          <w:rFonts w:ascii="宋体" w:hAnsi="宋体"/>
          <w:color w:val="auto"/>
        </w:rPr>
      </w:pPr>
      <w:bookmarkStart w:id="180" w:name="_Toc67603084"/>
      <w:bookmarkStart w:id="181" w:name="_Toc78368535"/>
      <w:bookmarkStart w:id="182" w:name="_Toc19836"/>
      <w:r>
        <w:rPr>
          <w:rFonts w:hint="eastAsia" w:ascii="宋体" w:hAnsi="宋体"/>
          <w:color w:val="auto"/>
        </w:rPr>
        <w:t>18.磋商相应文件的澄清</w:t>
      </w:r>
      <w:bookmarkEnd w:id="180"/>
      <w:bookmarkEnd w:id="181"/>
      <w:bookmarkEnd w:id="182"/>
    </w:p>
    <w:p>
      <w:pPr>
        <w:pStyle w:val="16"/>
        <w:wordWrap w:val="0"/>
        <w:spacing w:line="360" w:lineRule="auto"/>
        <w:ind w:firstLine="480" w:firstLineChars="200"/>
        <w:jc w:val="left"/>
        <w:rPr>
          <w:rFonts w:hAnsi="宋体"/>
          <w:color w:val="auto"/>
          <w:sz w:val="24"/>
        </w:rPr>
      </w:pPr>
      <w:r>
        <w:rPr>
          <w:rFonts w:hint="eastAsia" w:hAnsi="宋体"/>
          <w:color w:val="auto"/>
          <w:sz w:val="24"/>
        </w:rPr>
        <w:t>18.</w:t>
      </w:r>
      <w:r>
        <w:rPr>
          <w:rFonts w:hAnsi="宋体"/>
          <w:color w:val="auto"/>
          <w:sz w:val="24"/>
        </w:rPr>
        <w:t>1</w:t>
      </w:r>
      <w:r>
        <w:rPr>
          <w:rFonts w:hint="eastAsia" w:hAnsi="宋体"/>
          <w:color w:val="auto"/>
          <w:sz w:val="24"/>
        </w:rPr>
        <w:t>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pPr>
        <w:pStyle w:val="4"/>
        <w:wordWrap w:val="0"/>
        <w:spacing w:before="0" w:after="0" w:line="360" w:lineRule="auto"/>
        <w:ind w:left="210"/>
        <w:rPr>
          <w:rFonts w:ascii="宋体" w:hAnsi="宋体"/>
          <w:color w:val="auto"/>
        </w:rPr>
      </w:pPr>
      <w:bookmarkStart w:id="183" w:name="_Toc23951"/>
      <w:bookmarkStart w:id="184" w:name="_Toc67603085"/>
      <w:bookmarkStart w:id="185" w:name="_Toc78368536"/>
      <w:r>
        <w:rPr>
          <w:rFonts w:hint="eastAsia" w:ascii="宋体" w:hAnsi="宋体"/>
          <w:color w:val="auto"/>
        </w:rPr>
        <w:t>19</w:t>
      </w:r>
      <w:r>
        <w:rPr>
          <w:rFonts w:ascii="宋体" w:hAnsi="宋体"/>
          <w:color w:val="auto"/>
        </w:rPr>
        <w:t>.</w:t>
      </w:r>
      <w:r>
        <w:rPr>
          <w:rFonts w:hint="eastAsia" w:ascii="宋体" w:hAnsi="宋体"/>
          <w:color w:val="auto"/>
        </w:rPr>
        <w:t>比较与评价</w:t>
      </w:r>
      <w:bookmarkEnd w:id="183"/>
      <w:bookmarkEnd w:id="184"/>
      <w:bookmarkEnd w:id="185"/>
    </w:p>
    <w:p>
      <w:pPr>
        <w:pStyle w:val="16"/>
        <w:wordWrap w:val="0"/>
        <w:spacing w:line="360" w:lineRule="auto"/>
        <w:ind w:firstLine="480" w:firstLineChars="200"/>
        <w:jc w:val="left"/>
        <w:rPr>
          <w:rFonts w:hAnsi="宋体"/>
          <w:color w:val="auto"/>
          <w:sz w:val="24"/>
        </w:rPr>
      </w:pPr>
      <w:r>
        <w:rPr>
          <w:rFonts w:hint="eastAsia" w:hAnsi="宋体"/>
          <w:color w:val="auto"/>
          <w:sz w:val="24"/>
        </w:rPr>
        <w:t>19</w:t>
      </w:r>
      <w:r>
        <w:rPr>
          <w:rFonts w:hAnsi="宋体"/>
          <w:color w:val="auto"/>
          <w:sz w:val="24"/>
        </w:rPr>
        <w:t>.1</w:t>
      </w:r>
      <w:r>
        <w:rPr>
          <w:rFonts w:hint="eastAsia" w:hAnsi="宋体"/>
          <w:color w:val="auto"/>
          <w:sz w:val="24"/>
        </w:rPr>
        <w:t>磋商小组将按报价人须知前附表3所诉评审方法与标准，对资格性检查和符合性检查合格的采购文件进行商务和技术评估，综合比较与评价。</w:t>
      </w:r>
    </w:p>
    <w:p>
      <w:pPr>
        <w:pStyle w:val="16"/>
        <w:wordWrap w:val="0"/>
        <w:spacing w:line="360" w:lineRule="auto"/>
        <w:ind w:firstLine="480" w:firstLineChars="200"/>
        <w:jc w:val="left"/>
        <w:rPr>
          <w:rFonts w:hAnsi="宋体"/>
          <w:color w:val="auto"/>
          <w:sz w:val="24"/>
        </w:rPr>
      </w:pPr>
      <w:r>
        <w:rPr>
          <w:rFonts w:hint="eastAsia" w:hAnsi="宋体"/>
          <w:color w:val="auto"/>
          <w:sz w:val="24"/>
        </w:rPr>
        <w:t>19.</w:t>
      </w:r>
      <w:r>
        <w:rPr>
          <w:rFonts w:hAnsi="宋体"/>
          <w:color w:val="auto"/>
          <w:sz w:val="24"/>
        </w:rPr>
        <w:t>2</w:t>
      </w:r>
      <w:r>
        <w:rPr>
          <w:rFonts w:hint="eastAsia" w:hAnsi="宋体"/>
          <w:color w:val="auto"/>
          <w:sz w:val="24"/>
        </w:rPr>
        <w:t>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16"/>
        <w:wordWrap w:val="0"/>
        <w:spacing w:line="360" w:lineRule="auto"/>
        <w:ind w:firstLine="480" w:firstLineChars="200"/>
        <w:jc w:val="left"/>
        <w:rPr>
          <w:rFonts w:hAnsi="宋体"/>
          <w:color w:val="auto"/>
          <w:sz w:val="24"/>
        </w:rPr>
      </w:pPr>
      <w:r>
        <w:rPr>
          <w:rFonts w:hint="eastAsia" w:hAnsi="宋体"/>
          <w:color w:val="auto"/>
          <w:sz w:val="24"/>
        </w:rPr>
        <w:t>19</w:t>
      </w:r>
      <w:r>
        <w:rPr>
          <w:rFonts w:hAnsi="宋体"/>
          <w:color w:val="auto"/>
          <w:sz w:val="24"/>
        </w:rPr>
        <w:t>.</w:t>
      </w:r>
      <w:r>
        <w:rPr>
          <w:rFonts w:hint="eastAsia" w:hAnsi="宋体"/>
          <w:color w:val="auto"/>
          <w:sz w:val="24"/>
        </w:rPr>
        <w:t>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2"/>
        <w:wordWrap w:val="0"/>
        <w:spacing w:before="0" w:after="0" w:line="360" w:lineRule="auto"/>
        <w:rPr>
          <w:rFonts w:ascii="宋体" w:hAnsi="宋体"/>
          <w:color w:val="auto"/>
        </w:rPr>
      </w:pPr>
      <w:bookmarkStart w:id="186" w:name="_Toc67603086"/>
      <w:bookmarkStart w:id="187" w:name="_Toc16030"/>
      <w:bookmarkStart w:id="188" w:name="_Toc28754"/>
      <w:bookmarkStart w:id="189" w:name="_Toc78368537"/>
      <w:bookmarkStart w:id="190" w:name="_Toc29166"/>
      <w:bookmarkStart w:id="191" w:name="_Toc21907"/>
      <w:bookmarkStart w:id="192" w:name="_Toc13200"/>
      <w:bookmarkStart w:id="193" w:name="_Toc26542"/>
      <w:bookmarkStart w:id="194" w:name="_Toc2675"/>
      <w:bookmarkStart w:id="195" w:name="_Toc16060"/>
      <w:r>
        <w:rPr>
          <w:rFonts w:hint="eastAsia" w:ascii="宋体" w:hAnsi="宋体"/>
          <w:color w:val="auto"/>
        </w:rPr>
        <w:t>六、成交与签订合同</w:t>
      </w:r>
      <w:bookmarkEnd w:id="186"/>
      <w:bookmarkEnd w:id="187"/>
      <w:bookmarkEnd w:id="188"/>
      <w:bookmarkEnd w:id="189"/>
      <w:bookmarkEnd w:id="190"/>
      <w:bookmarkEnd w:id="191"/>
      <w:bookmarkEnd w:id="192"/>
      <w:bookmarkEnd w:id="193"/>
      <w:bookmarkEnd w:id="194"/>
      <w:bookmarkEnd w:id="195"/>
    </w:p>
    <w:p>
      <w:pPr>
        <w:pStyle w:val="4"/>
        <w:wordWrap w:val="0"/>
        <w:spacing w:before="0" w:after="0" w:line="360" w:lineRule="auto"/>
        <w:ind w:left="210"/>
        <w:rPr>
          <w:rFonts w:ascii="宋体" w:hAnsi="宋体"/>
          <w:color w:val="auto"/>
        </w:rPr>
      </w:pPr>
      <w:bookmarkStart w:id="196" w:name="_Toc78368538"/>
      <w:bookmarkStart w:id="197" w:name="_Toc26487"/>
      <w:bookmarkStart w:id="198" w:name="_Toc67603087"/>
      <w:r>
        <w:rPr>
          <w:rFonts w:hint="eastAsia" w:ascii="宋体" w:hAnsi="宋体"/>
          <w:color w:val="auto"/>
        </w:rPr>
        <w:t>20.成交准则</w:t>
      </w:r>
      <w:bookmarkEnd w:id="196"/>
      <w:bookmarkEnd w:id="197"/>
      <w:bookmarkEnd w:id="198"/>
    </w:p>
    <w:p>
      <w:pPr>
        <w:pStyle w:val="16"/>
        <w:wordWrap w:val="0"/>
        <w:spacing w:line="360" w:lineRule="auto"/>
        <w:jc w:val="left"/>
        <w:rPr>
          <w:rFonts w:hAnsi="宋体"/>
          <w:color w:val="auto"/>
          <w:sz w:val="24"/>
          <w:szCs w:val="24"/>
        </w:rPr>
      </w:pPr>
      <w:r>
        <w:rPr>
          <w:rFonts w:hint="eastAsia" w:hAnsi="宋体"/>
          <w:color w:val="auto"/>
          <w:sz w:val="24"/>
          <w:szCs w:val="24"/>
        </w:rPr>
        <w:t xml:space="preserve">    20.</w:t>
      </w:r>
      <w:r>
        <w:rPr>
          <w:rFonts w:hAnsi="宋体"/>
          <w:color w:val="auto"/>
          <w:sz w:val="24"/>
          <w:szCs w:val="24"/>
        </w:rPr>
        <w:t>1</w:t>
      </w:r>
      <w:r>
        <w:rPr>
          <w:rFonts w:hint="eastAsia" w:hAnsi="宋体"/>
          <w:color w:val="auto"/>
          <w:sz w:val="24"/>
          <w:szCs w:val="24"/>
        </w:rPr>
        <w:t xml:space="preserve">报价人的报价文件符合采购文件要求，按采购文件确定评审方法、标准，经磋商小组评审并推荐成交候选人。 </w:t>
      </w:r>
    </w:p>
    <w:p>
      <w:pPr>
        <w:pStyle w:val="4"/>
        <w:wordWrap w:val="0"/>
        <w:spacing w:before="0" w:after="0" w:line="360" w:lineRule="auto"/>
        <w:ind w:left="210"/>
        <w:rPr>
          <w:rFonts w:ascii="宋体" w:hAnsi="宋体"/>
          <w:color w:val="auto"/>
        </w:rPr>
      </w:pPr>
      <w:bookmarkStart w:id="199" w:name="_Toc78368539"/>
      <w:bookmarkStart w:id="200" w:name="_Toc67603088"/>
      <w:bookmarkStart w:id="201" w:name="_Toc18230"/>
      <w:r>
        <w:rPr>
          <w:rFonts w:hint="eastAsia" w:ascii="宋体" w:hAnsi="宋体"/>
          <w:color w:val="auto"/>
        </w:rPr>
        <w:t>21</w:t>
      </w:r>
      <w:r>
        <w:rPr>
          <w:rFonts w:ascii="宋体" w:hAnsi="宋体"/>
          <w:color w:val="auto"/>
        </w:rPr>
        <w:t>.成交通知</w:t>
      </w:r>
      <w:bookmarkEnd w:id="199"/>
      <w:bookmarkEnd w:id="200"/>
      <w:bookmarkEnd w:id="201"/>
    </w:p>
    <w:p>
      <w:pPr>
        <w:wordWrap w:val="0"/>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21.</w:t>
      </w:r>
      <w:r>
        <w:rPr>
          <w:rFonts w:ascii="宋体" w:hAnsi="宋体" w:cs="Arial"/>
          <w:color w:val="auto"/>
          <w:sz w:val="24"/>
          <w:szCs w:val="24"/>
        </w:rPr>
        <w:t>1磋商结束后，磋商结果经采购人确认后，采购代理机构</w:t>
      </w:r>
      <w:r>
        <w:rPr>
          <w:rFonts w:hint="eastAsia" w:ascii="宋体" w:hAnsi="宋体" w:cs="Arial"/>
          <w:color w:val="auto"/>
          <w:sz w:val="24"/>
          <w:szCs w:val="24"/>
        </w:rPr>
        <w:t>应自成交人确定之日起2个工作日内在中国政府采购网、建信采购平台网上对成交结果进行公告，同时采购代理机构向</w:t>
      </w:r>
      <w:r>
        <w:rPr>
          <w:rFonts w:ascii="宋体" w:hAnsi="宋体" w:cs="Arial"/>
          <w:color w:val="auto"/>
          <w:sz w:val="24"/>
          <w:szCs w:val="24"/>
        </w:rPr>
        <w:t>成交供应商发出成交通知书。成交通知书对采购人和成交供应商具有同等法律效力。成交通知书发出后，采购人改变成交结果或者成交供应商放弃</w:t>
      </w:r>
      <w:r>
        <w:rPr>
          <w:rFonts w:hint="eastAsia" w:ascii="宋体" w:hAnsi="宋体" w:cs="Arial"/>
          <w:color w:val="auto"/>
          <w:sz w:val="24"/>
          <w:szCs w:val="24"/>
        </w:rPr>
        <w:t>成交</w:t>
      </w:r>
      <w:r>
        <w:rPr>
          <w:rFonts w:ascii="宋体" w:hAnsi="宋体" w:cs="Arial"/>
          <w:color w:val="auto"/>
          <w:sz w:val="24"/>
          <w:szCs w:val="24"/>
        </w:rPr>
        <w:t>，应承担相应的法律责任。</w:t>
      </w:r>
    </w:p>
    <w:p>
      <w:pPr>
        <w:wordWrap w:val="0"/>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21.2</w:t>
      </w:r>
      <w:r>
        <w:rPr>
          <w:rFonts w:ascii="宋体" w:hAnsi="宋体" w:cs="Arial"/>
          <w:color w:val="auto"/>
          <w:sz w:val="24"/>
          <w:szCs w:val="24"/>
        </w:rPr>
        <w:t>《成交通知书》发出同时应将未成交通知书发送给其</w:t>
      </w:r>
      <w:r>
        <w:rPr>
          <w:rFonts w:hint="eastAsia" w:ascii="宋体" w:hAnsi="宋体" w:cs="Arial"/>
          <w:color w:val="auto"/>
          <w:sz w:val="24"/>
          <w:szCs w:val="24"/>
        </w:rPr>
        <w:t>他报价人</w:t>
      </w:r>
      <w:r>
        <w:rPr>
          <w:rFonts w:ascii="宋体" w:hAnsi="宋体" w:cs="Arial"/>
          <w:color w:val="auto"/>
          <w:sz w:val="24"/>
          <w:szCs w:val="24"/>
        </w:rPr>
        <w:t>。</w:t>
      </w:r>
    </w:p>
    <w:p>
      <w:pPr>
        <w:wordWrap w:val="0"/>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21.3</w:t>
      </w:r>
      <w:r>
        <w:rPr>
          <w:rFonts w:ascii="宋体" w:hAnsi="宋体" w:cs="Arial"/>
          <w:color w:val="auto"/>
          <w:sz w:val="24"/>
          <w:szCs w:val="24"/>
        </w:rPr>
        <w:t>《成交通知书》将作为签订合同的依据。</w:t>
      </w:r>
      <w:r>
        <w:rPr>
          <w:rFonts w:hint="eastAsia" w:ascii="宋体" w:hAnsi="宋体" w:cs="Arial"/>
          <w:color w:val="auto"/>
          <w:sz w:val="24"/>
          <w:szCs w:val="24"/>
        </w:rPr>
        <w:t>采购合同签订后，《成交通知书》成为合同的一部分。</w:t>
      </w:r>
    </w:p>
    <w:p>
      <w:pPr>
        <w:wordWrap w:val="0"/>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21.4</w:t>
      </w:r>
      <w:r>
        <w:rPr>
          <w:rFonts w:ascii="宋体" w:hAnsi="宋体" w:cs="Arial"/>
          <w:color w:val="auto"/>
          <w:sz w:val="24"/>
          <w:szCs w:val="24"/>
        </w:rPr>
        <w:t>《成交通知书》发出后5个工作日内，采购代理机构以原缴交方式向未成交的报价人退还其磋商保证金</w:t>
      </w:r>
      <w:r>
        <w:rPr>
          <w:rFonts w:hint="eastAsia" w:ascii="宋体" w:hAnsi="宋体" w:cs="Arial"/>
          <w:color w:val="auto"/>
          <w:sz w:val="24"/>
          <w:szCs w:val="24"/>
        </w:rPr>
        <w:t>（含保函）</w:t>
      </w:r>
      <w:r>
        <w:rPr>
          <w:rFonts w:ascii="宋体" w:hAnsi="宋体" w:cs="Arial"/>
          <w:color w:val="auto"/>
          <w:sz w:val="24"/>
          <w:szCs w:val="24"/>
        </w:rPr>
        <w:t>。在合同签订后5个工作日内，以原缴交方式退还成交供应商的磋商保证金。</w:t>
      </w:r>
    </w:p>
    <w:p>
      <w:pPr>
        <w:pStyle w:val="4"/>
        <w:wordWrap w:val="0"/>
        <w:spacing w:before="0" w:after="0" w:line="360" w:lineRule="auto"/>
        <w:ind w:left="210"/>
        <w:rPr>
          <w:rFonts w:ascii="宋体" w:hAnsi="宋体"/>
          <w:color w:val="auto"/>
        </w:rPr>
      </w:pPr>
      <w:bookmarkStart w:id="202" w:name="_Toc7703"/>
      <w:bookmarkStart w:id="203" w:name="_Toc67603089"/>
      <w:bookmarkStart w:id="204" w:name="_Toc78368540"/>
      <w:r>
        <w:rPr>
          <w:rFonts w:hint="eastAsia" w:ascii="宋体" w:hAnsi="宋体"/>
          <w:color w:val="auto"/>
        </w:rPr>
        <w:t>22.</w:t>
      </w:r>
      <w:r>
        <w:rPr>
          <w:rFonts w:ascii="宋体" w:hAnsi="宋体"/>
          <w:color w:val="auto"/>
        </w:rPr>
        <w:t>签订合同</w:t>
      </w:r>
      <w:bookmarkEnd w:id="202"/>
      <w:bookmarkEnd w:id="203"/>
      <w:bookmarkEnd w:id="204"/>
    </w:p>
    <w:p>
      <w:pPr>
        <w:pStyle w:val="16"/>
        <w:wordWrap w:val="0"/>
        <w:spacing w:line="360" w:lineRule="auto"/>
        <w:ind w:firstLine="480" w:firstLineChars="200"/>
        <w:jc w:val="left"/>
        <w:rPr>
          <w:rFonts w:hAnsi="宋体"/>
          <w:color w:val="auto"/>
          <w:sz w:val="24"/>
          <w:szCs w:val="24"/>
        </w:rPr>
      </w:pPr>
      <w:r>
        <w:rPr>
          <w:rFonts w:hint="eastAsia" w:hAnsi="宋体"/>
          <w:color w:val="auto"/>
          <w:sz w:val="24"/>
          <w:szCs w:val="24"/>
        </w:rPr>
        <w:t>22</w:t>
      </w:r>
      <w:r>
        <w:rPr>
          <w:rFonts w:hAnsi="宋体"/>
          <w:color w:val="auto"/>
          <w:sz w:val="24"/>
          <w:szCs w:val="24"/>
        </w:rPr>
        <w:t>.1</w:t>
      </w:r>
      <w:r>
        <w:rPr>
          <w:rFonts w:hint="eastAsia" w:hAnsi="宋体"/>
          <w:color w:val="auto"/>
          <w:sz w:val="24"/>
          <w:szCs w:val="24"/>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pPr>
        <w:pStyle w:val="16"/>
        <w:wordWrap w:val="0"/>
        <w:spacing w:line="360" w:lineRule="auto"/>
        <w:ind w:firstLine="480" w:firstLineChars="200"/>
        <w:jc w:val="left"/>
        <w:rPr>
          <w:rFonts w:hAnsi="宋体"/>
          <w:color w:val="auto"/>
          <w:sz w:val="24"/>
          <w:szCs w:val="24"/>
        </w:rPr>
      </w:pPr>
      <w:r>
        <w:rPr>
          <w:rFonts w:hint="eastAsia" w:hAnsi="宋体"/>
          <w:color w:val="auto"/>
          <w:sz w:val="24"/>
          <w:szCs w:val="24"/>
        </w:rPr>
        <w:t>22</w:t>
      </w:r>
      <w:r>
        <w:rPr>
          <w:rFonts w:hAnsi="宋体"/>
          <w:color w:val="auto"/>
          <w:sz w:val="24"/>
          <w:szCs w:val="24"/>
        </w:rPr>
        <w:t>.</w:t>
      </w:r>
      <w:r>
        <w:rPr>
          <w:rFonts w:hint="eastAsia" w:hAnsi="宋体"/>
          <w:color w:val="auto"/>
          <w:sz w:val="24"/>
          <w:szCs w:val="24"/>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16"/>
        <w:wordWrap w:val="0"/>
        <w:spacing w:line="360" w:lineRule="auto"/>
        <w:ind w:firstLine="480" w:firstLineChars="200"/>
        <w:jc w:val="left"/>
        <w:rPr>
          <w:rFonts w:hAnsi="宋体"/>
          <w:color w:val="auto"/>
          <w:sz w:val="24"/>
          <w:szCs w:val="24"/>
        </w:rPr>
      </w:pPr>
      <w:r>
        <w:rPr>
          <w:rFonts w:hint="eastAsia" w:hAnsi="宋体"/>
          <w:color w:val="auto"/>
          <w:sz w:val="24"/>
          <w:szCs w:val="24"/>
        </w:rPr>
        <w:t>22.3采购人在合同履行中，需追加与合同标的相同的货物或者服务的，在不改变合同其他条款的前提下，可与供应商协商签订补充合同，但所有补充合同的采购金额不得超过原合同采购金额的10%。</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22.4成交供应商因不可抗力或者自身原因不能履行采购合同的，采购人可以与排位在成交供应商之后第一位的成交备选供应商签订采购合同，以此类推。</w:t>
      </w:r>
      <w:r>
        <w:rPr>
          <w:rFonts w:ascii="宋体" w:hAnsi="宋体"/>
          <w:color w:val="auto"/>
          <w:sz w:val="24"/>
          <w:szCs w:val="24"/>
        </w:rPr>
        <w:t>且在此情况下，作为成交供应商之后第一位的成交候选人应同意与采购</w:t>
      </w:r>
      <w:r>
        <w:rPr>
          <w:rFonts w:hint="eastAsia" w:ascii="宋体" w:hAnsi="宋体"/>
          <w:color w:val="auto"/>
          <w:sz w:val="24"/>
          <w:szCs w:val="24"/>
        </w:rPr>
        <w:t>人</w:t>
      </w:r>
      <w:r>
        <w:rPr>
          <w:rFonts w:ascii="宋体" w:hAnsi="宋体"/>
          <w:color w:val="auto"/>
          <w:sz w:val="24"/>
          <w:szCs w:val="24"/>
        </w:rPr>
        <w:t>按不高于其最终报价签订采购合同。</w:t>
      </w:r>
    </w:p>
    <w:p>
      <w:pPr>
        <w:pStyle w:val="4"/>
        <w:wordWrap w:val="0"/>
        <w:spacing w:before="0" w:after="0" w:line="360" w:lineRule="auto"/>
        <w:ind w:left="210"/>
        <w:rPr>
          <w:rFonts w:ascii="宋体" w:hAnsi="宋体"/>
          <w:color w:val="auto"/>
        </w:rPr>
      </w:pPr>
      <w:bookmarkStart w:id="205" w:name="_Toc67603090"/>
      <w:bookmarkStart w:id="206" w:name="_Toc78368541"/>
      <w:bookmarkStart w:id="207" w:name="_Toc27463"/>
      <w:r>
        <w:rPr>
          <w:rFonts w:hint="eastAsia" w:ascii="宋体" w:hAnsi="宋体"/>
          <w:color w:val="auto"/>
        </w:rPr>
        <w:t>23.成交服务费</w:t>
      </w:r>
      <w:bookmarkEnd w:id="205"/>
      <w:bookmarkEnd w:id="206"/>
      <w:bookmarkEnd w:id="207"/>
    </w:p>
    <w:p>
      <w:pPr>
        <w:pStyle w:val="16"/>
        <w:wordWrap w:val="0"/>
        <w:spacing w:line="360" w:lineRule="auto"/>
        <w:ind w:firstLine="480" w:firstLineChars="200"/>
        <w:jc w:val="left"/>
        <w:rPr>
          <w:rFonts w:hAnsi="宋体"/>
          <w:color w:val="auto"/>
          <w:sz w:val="24"/>
          <w:szCs w:val="24"/>
        </w:rPr>
      </w:pPr>
      <w:r>
        <w:rPr>
          <w:rFonts w:hAnsi="宋体"/>
          <w:color w:val="auto"/>
          <w:sz w:val="24"/>
          <w:szCs w:val="24"/>
        </w:rPr>
        <w:t>成交供应商应按</w:t>
      </w:r>
      <w:r>
        <w:rPr>
          <w:rFonts w:hint="eastAsia" w:hAnsi="宋体"/>
          <w:color w:val="auto"/>
          <w:sz w:val="24"/>
          <w:szCs w:val="24"/>
        </w:rPr>
        <w:t>须知前附表</w:t>
      </w:r>
      <w:r>
        <w:rPr>
          <w:rFonts w:hAnsi="宋体"/>
          <w:color w:val="auto"/>
          <w:sz w:val="24"/>
          <w:szCs w:val="24"/>
        </w:rPr>
        <w:t>一次性向采购代理机构交纳采购代理服务费。</w:t>
      </w:r>
    </w:p>
    <w:p>
      <w:pPr>
        <w:keepNext/>
        <w:keepLines/>
        <w:pageBreakBefore/>
        <w:widowControl/>
        <w:wordWrap w:val="0"/>
        <w:spacing w:line="360" w:lineRule="auto"/>
        <w:jc w:val="center"/>
        <w:outlineLvl w:val="0"/>
        <w:rPr>
          <w:rFonts w:ascii="宋体" w:hAnsi="宋体"/>
          <w:b/>
          <w:bCs/>
          <w:color w:val="auto"/>
          <w:sz w:val="36"/>
          <w:szCs w:val="36"/>
        </w:rPr>
      </w:pPr>
      <w:bookmarkStart w:id="208" w:name="_Toc78368542"/>
      <w:bookmarkStart w:id="209" w:name="_Toc28052"/>
      <w:bookmarkStart w:id="210" w:name="_Toc4657"/>
      <w:bookmarkStart w:id="211" w:name="_Toc12721"/>
      <w:bookmarkStart w:id="212" w:name="_Toc10462"/>
      <w:bookmarkStart w:id="213" w:name="_Toc10935"/>
      <w:bookmarkStart w:id="214" w:name="_Toc23477"/>
      <w:bookmarkStart w:id="215" w:name="_Toc16658"/>
      <w:bookmarkStart w:id="216" w:name="_Toc31045"/>
      <w:r>
        <w:rPr>
          <w:rFonts w:hint="eastAsia" w:ascii="宋体" w:hAnsi="宋体"/>
          <w:b/>
          <w:bCs/>
          <w:color w:val="auto"/>
          <w:sz w:val="36"/>
          <w:szCs w:val="36"/>
        </w:rPr>
        <w:t>第三章  采购内容及要求</w:t>
      </w:r>
      <w:bookmarkEnd w:id="208"/>
      <w:bookmarkEnd w:id="209"/>
      <w:bookmarkEnd w:id="210"/>
      <w:bookmarkEnd w:id="211"/>
      <w:bookmarkEnd w:id="212"/>
      <w:bookmarkEnd w:id="213"/>
      <w:bookmarkEnd w:id="214"/>
      <w:bookmarkEnd w:id="215"/>
      <w:bookmarkEnd w:id="216"/>
    </w:p>
    <w:p>
      <w:pPr>
        <w:pStyle w:val="2"/>
        <w:wordWrap w:val="0"/>
        <w:spacing w:before="0" w:after="0" w:line="360" w:lineRule="auto"/>
        <w:jc w:val="left"/>
        <w:rPr>
          <w:rFonts w:ascii="宋体" w:hAnsi="宋体"/>
          <w:color w:val="auto"/>
          <w:sz w:val="28"/>
          <w:szCs w:val="28"/>
        </w:rPr>
      </w:pPr>
      <w:bookmarkStart w:id="217" w:name="_Toc87110451"/>
      <w:bookmarkStart w:id="218" w:name="_Toc17182"/>
      <w:bookmarkStart w:id="219" w:name="_Toc23729"/>
      <w:bookmarkStart w:id="220" w:name="_Toc106783301"/>
      <w:bookmarkStart w:id="221" w:name="_Toc19281"/>
      <w:bookmarkStart w:id="222" w:name="_Toc25456"/>
      <w:bookmarkStart w:id="223" w:name="_Toc8307"/>
      <w:bookmarkStart w:id="224" w:name="_Toc1969"/>
      <w:bookmarkStart w:id="225" w:name="_Toc23443"/>
      <w:bookmarkStart w:id="226" w:name="_Toc15430"/>
      <w:r>
        <w:rPr>
          <w:rFonts w:hint="eastAsia" w:ascii="宋体" w:hAnsi="宋体"/>
          <w:color w:val="auto"/>
          <w:sz w:val="28"/>
          <w:szCs w:val="28"/>
        </w:rPr>
        <w:t>一、项目概述</w:t>
      </w:r>
      <w:bookmarkEnd w:id="217"/>
      <w:bookmarkEnd w:id="218"/>
      <w:bookmarkEnd w:id="219"/>
      <w:bookmarkEnd w:id="220"/>
    </w:p>
    <w:bookmarkEnd w:id="221"/>
    <w:bookmarkEnd w:id="222"/>
    <w:bookmarkEnd w:id="223"/>
    <w:bookmarkEnd w:id="224"/>
    <w:bookmarkEnd w:id="225"/>
    <w:bookmarkEnd w:id="226"/>
    <w:p>
      <w:pPr>
        <w:pStyle w:val="27"/>
        <w:widowControl/>
        <w:wordWrap w:val="0"/>
        <w:spacing w:line="360" w:lineRule="auto"/>
        <w:ind w:firstLine="420"/>
        <w:rPr>
          <w:rFonts w:ascii="宋体" w:hAnsi="宋体"/>
          <w:color w:val="auto"/>
        </w:rPr>
      </w:pPr>
      <w:bookmarkStart w:id="227" w:name="_Toc2857"/>
      <w:bookmarkStart w:id="228" w:name="_Toc467"/>
      <w:bookmarkStart w:id="229" w:name="_Toc29651"/>
      <w:bookmarkStart w:id="230" w:name="_Toc468873726"/>
      <w:bookmarkStart w:id="231" w:name="_Toc61509525"/>
      <w:bookmarkStart w:id="232" w:name="_Toc32338"/>
      <w:bookmarkStart w:id="233" w:name="_Toc345569543"/>
      <w:bookmarkStart w:id="234" w:name="_Toc23828"/>
      <w:bookmarkStart w:id="235" w:name="_Toc8998183"/>
      <w:bookmarkStart w:id="236" w:name="_Toc4454"/>
      <w:bookmarkStart w:id="237" w:name="_Toc417281480"/>
      <w:bookmarkStart w:id="238" w:name="_Toc177360134"/>
      <w:bookmarkStart w:id="239" w:name="_Toc415775842"/>
      <w:bookmarkStart w:id="240" w:name="_Toc428127949"/>
      <w:bookmarkStart w:id="241" w:name="_Toc17505"/>
      <w:bookmarkStart w:id="242" w:name="_Toc21317"/>
      <w:bookmarkStart w:id="243" w:name="_Toc34033285"/>
      <w:bookmarkStart w:id="244" w:name="_Toc284164577"/>
      <w:r>
        <w:rPr>
          <w:rFonts w:hint="eastAsia" w:ascii="宋体" w:hAnsi="宋体"/>
          <w:color w:val="auto"/>
        </w:rPr>
        <w:t>为加强法治政府建设，进一步完善矛盾纠纷多元化解机制，根据厦门市城市管理行政执法局（以下简称“市执法局”）实际工作情况，需要继续购买政府法律顾问助理，协助办理行政诉讼、民事诉讼纠纷以及其他纠纷调处工作，协助开展行政决策行政行为合法性审查、分析研判、风险评估、法律宣导等相关法律事务工作，提升城管执法工作法治化水平。</w:t>
      </w:r>
    </w:p>
    <w:p>
      <w:pPr>
        <w:pStyle w:val="2"/>
        <w:wordWrap w:val="0"/>
        <w:spacing w:before="0" w:after="0" w:line="360" w:lineRule="auto"/>
        <w:jc w:val="left"/>
        <w:rPr>
          <w:rFonts w:ascii="宋体" w:hAnsi="宋体"/>
          <w:color w:val="auto"/>
          <w:sz w:val="28"/>
          <w:szCs w:val="28"/>
        </w:rPr>
      </w:pPr>
      <w:bookmarkStart w:id="245" w:name="_Toc106783302"/>
      <w:bookmarkStart w:id="246" w:name="_Toc22437"/>
      <w:r>
        <w:rPr>
          <w:rFonts w:hint="eastAsia" w:ascii="宋体" w:hAnsi="宋体"/>
          <w:color w:val="auto"/>
          <w:sz w:val="28"/>
          <w:szCs w:val="28"/>
        </w:rPr>
        <w:t>二、服务内容</w:t>
      </w:r>
      <w:r>
        <w:rPr>
          <w:rFonts w:hint="eastAsia" w:ascii="宋体" w:hAnsi="宋体"/>
          <w:color w:val="auto"/>
          <w:sz w:val="28"/>
          <w:szCs w:val="28"/>
          <w:lang w:val="en-US" w:eastAsia="zh-CN"/>
        </w:rPr>
        <w:t>及</w:t>
      </w:r>
      <w:r>
        <w:rPr>
          <w:rFonts w:hint="eastAsia" w:ascii="宋体" w:hAnsi="宋体"/>
          <w:color w:val="auto"/>
          <w:sz w:val="28"/>
          <w:szCs w:val="28"/>
        </w:rPr>
        <w:t>要求</w:t>
      </w:r>
      <w:bookmarkEnd w:id="227"/>
      <w:bookmarkEnd w:id="245"/>
      <w:bookmarkEnd w:id="246"/>
    </w:p>
    <w:p>
      <w:pPr>
        <w:pStyle w:val="4"/>
        <w:wordWrap w:val="0"/>
        <w:spacing w:before="0" w:after="0" w:line="360" w:lineRule="auto"/>
        <w:ind w:left="210"/>
        <w:rPr>
          <w:rFonts w:ascii="宋体" w:hAnsi="宋体"/>
          <w:b w:val="0"/>
          <w:bCs/>
          <w:color w:val="auto"/>
        </w:rPr>
      </w:pPr>
      <w:bookmarkStart w:id="247" w:name="_Toc106783303"/>
      <w:bookmarkStart w:id="248" w:name="_Toc22762"/>
      <w:r>
        <w:rPr>
          <w:rFonts w:hint="eastAsia" w:ascii="宋体" w:hAnsi="宋体"/>
          <w:bCs/>
          <w:color w:val="auto"/>
        </w:rPr>
        <w:t>2</w:t>
      </w:r>
      <w:r>
        <w:rPr>
          <w:rFonts w:ascii="宋体" w:hAnsi="宋体"/>
          <w:bCs/>
          <w:color w:val="auto"/>
        </w:rPr>
        <w:t xml:space="preserve">.1 </w:t>
      </w:r>
      <w:r>
        <w:rPr>
          <w:rFonts w:hint="eastAsia" w:ascii="宋体" w:hAnsi="宋体"/>
          <w:bCs/>
          <w:color w:val="auto"/>
        </w:rPr>
        <w:t>服务范围及内容</w:t>
      </w:r>
      <w:bookmarkEnd w:id="247"/>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 xml:space="preserve">.1.1 </w:t>
      </w:r>
      <w:r>
        <w:rPr>
          <w:rFonts w:hint="eastAsia" w:ascii="宋体" w:hAnsi="宋体" w:cs="宋体"/>
          <w:color w:val="auto"/>
          <w:sz w:val="24"/>
          <w:szCs w:val="24"/>
        </w:rPr>
        <w:t>根据工作需要，协助开展行政决策行政行为合法性审查、纠纷调处、分析研判、风险评估、法律宣导等相关法律事务工作。</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2.1.2 </w:t>
      </w:r>
      <w:r>
        <w:rPr>
          <w:rFonts w:hint="eastAsia" w:ascii="宋体" w:hAnsi="宋体" w:cs="宋体"/>
          <w:color w:val="auto"/>
          <w:sz w:val="24"/>
          <w:szCs w:val="24"/>
        </w:rPr>
        <w:t>协助采购人审查在履行法定职责过程中拟签署的各类合同文件，适时提出法律意见和建议。</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2.1.3 </w:t>
      </w:r>
      <w:r>
        <w:rPr>
          <w:rFonts w:hint="eastAsia" w:ascii="宋体" w:hAnsi="宋体" w:cs="宋体"/>
          <w:color w:val="auto"/>
          <w:sz w:val="24"/>
          <w:szCs w:val="24"/>
        </w:rPr>
        <w:t>协助采购人处理诉讼案件（含被复议）和民事案件等，具体工作内容包括：</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（1）根据复议、诉讼案件的要求，协助收集、整理、甄选、审查证据材料；</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（2）在采购人授权范围内与对方当事人进行协商、调解；</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（3）协助采购人与法院、公安、生态环保、资源规划、市政园林等主管部门充分协调，促进采购人工作的顺利开展。</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（4）根据需要协助办理的其他工作。</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2.1.4 </w:t>
      </w:r>
      <w:r>
        <w:rPr>
          <w:rFonts w:hint="eastAsia" w:ascii="宋体" w:hAnsi="宋体" w:cs="宋体"/>
          <w:color w:val="auto"/>
          <w:sz w:val="24"/>
          <w:szCs w:val="24"/>
        </w:rPr>
        <w:t>协助疑难信访案件的办理并提供法律建议。</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 xml:space="preserve">.1.5 </w:t>
      </w:r>
      <w:r>
        <w:rPr>
          <w:rFonts w:hint="eastAsia" w:ascii="宋体" w:hAnsi="宋体" w:cs="宋体"/>
          <w:color w:val="auto"/>
          <w:sz w:val="24"/>
          <w:szCs w:val="24"/>
        </w:rPr>
        <w:t>协助采购人信息公开相关业务事项。</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2.1.6 </w:t>
      </w:r>
      <w:r>
        <w:rPr>
          <w:rFonts w:hint="eastAsia" w:ascii="宋体" w:hAnsi="宋体" w:cs="宋体"/>
          <w:color w:val="auto"/>
          <w:sz w:val="24"/>
          <w:szCs w:val="24"/>
        </w:rPr>
        <w:t>协助采购人法治建设和普法宣传教育工作。</w:t>
      </w:r>
    </w:p>
    <w:p>
      <w:pPr>
        <w:wordWrap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2.1.7 </w:t>
      </w:r>
      <w:r>
        <w:rPr>
          <w:rFonts w:hint="eastAsia" w:ascii="宋体" w:hAnsi="宋体" w:cs="宋体"/>
          <w:color w:val="auto"/>
          <w:sz w:val="24"/>
          <w:szCs w:val="24"/>
        </w:rPr>
        <w:t>根据需要，协助规范采购人业务工作办理规程。</w:t>
      </w:r>
    </w:p>
    <w:p>
      <w:pPr>
        <w:wordWrap w:val="0"/>
        <w:spacing w:line="360" w:lineRule="auto"/>
        <w:ind w:firstLine="480" w:firstLineChars="200"/>
        <w:rPr>
          <w:color w:val="auto"/>
        </w:rPr>
      </w:pPr>
      <w:r>
        <w:rPr>
          <w:rFonts w:ascii="宋体" w:hAnsi="宋体" w:cs="宋体"/>
          <w:color w:val="auto"/>
          <w:sz w:val="24"/>
          <w:szCs w:val="24"/>
        </w:rPr>
        <w:t>2.1.</w:t>
      </w:r>
      <w:r>
        <w:rPr>
          <w:rFonts w:hint="eastAsia" w:ascii="宋体" w:hAnsi="宋体" w:cs="宋体"/>
          <w:color w:val="auto"/>
          <w:sz w:val="24"/>
          <w:szCs w:val="24"/>
        </w:rPr>
        <w:t>8 协助采购人开展修规立法工作及相关调研。</w:t>
      </w:r>
    </w:p>
    <w:p>
      <w:pPr>
        <w:wordWrap w:val="0"/>
        <w:spacing w:line="360" w:lineRule="auto"/>
        <w:ind w:firstLine="480" w:firstLineChars="200"/>
        <w:rPr>
          <w:rStyle w:val="32"/>
          <w:rFonts w:ascii="宋体" w:hAnsi="宋体" w:cs="宋体"/>
          <w:color w:val="auto"/>
          <w:sz w:val="24"/>
          <w:szCs w:val="24"/>
          <w:shd w:val="clear" w:color="auto" w:fill="FFFFFF"/>
        </w:rPr>
      </w:pPr>
      <w:r>
        <w:rPr>
          <w:rFonts w:ascii="宋体" w:hAnsi="宋体" w:cs="宋体"/>
          <w:color w:val="auto"/>
          <w:sz w:val="24"/>
          <w:szCs w:val="24"/>
        </w:rPr>
        <w:t>2.1.</w:t>
      </w:r>
      <w:r>
        <w:rPr>
          <w:rFonts w:hint="eastAsia" w:ascii="宋体" w:hAnsi="宋体" w:cs="宋体"/>
          <w:color w:val="auto"/>
          <w:sz w:val="24"/>
          <w:szCs w:val="24"/>
        </w:rPr>
        <w:t>9</w:t>
      </w:r>
      <w:r>
        <w:rPr>
          <w:rFonts w:ascii="宋体" w:hAnsi="宋体" w:cs="宋体"/>
          <w:color w:val="auto"/>
          <w:sz w:val="24"/>
          <w:szCs w:val="24"/>
        </w:rPr>
        <w:t xml:space="preserve"> </w:t>
      </w:r>
      <w:r>
        <w:rPr>
          <w:rFonts w:hint="eastAsia" w:ascii="宋体" w:hAnsi="宋体" w:cs="宋体"/>
          <w:color w:val="auto"/>
          <w:sz w:val="24"/>
          <w:szCs w:val="24"/>
        </w:rPr>
        <w:t>采购人交办的其他法律及行政事务。</w:t>
      </w:r>
    </w:p>
    <w:p>
      <w:pPr>
        <w:pStyle w:val="4"/>
        <w:wordWrap w:val="0"/>
        <w:spacing w:before="0" w:after="0" w:line="360" w:lineRule="auto"/>
        <w:ind w:left="210"/>
        <w:rPr>
          <w:rFonts w:ascii="宋体" w:hAnsi="宋体"/>
          <w:color w:val="auto"/>
        </w:rPr>
      </w:pPr>
      <w:bookmarkStart w:id="249" w:name="_Toc106783304"/>
      <w:r>
        <w:rPr>
          <w:rFonts w:hint="eastAsia" w:ascii="宋体" w:hAnsi="宋体"/>
          <w:color w:val="auto"/>
        </w:rPr>
        <w:t>2</w:t>
      </w:r>
      <w:r>
        <w:rPr>
          <w:rFonts w:ascii="宋体" w:hAnsi="宋体"/>
          <w:color w:val="auto"/>
        </w:rPr>
        <w:t xml:space="preserve">.2 </w:t>
      </w:r>
      <w:r>
        <w:rPr>
          <w:rFonts w:hint="eastAsia" w:ascii="宋体" w:hAnsi="宋体"/>
          <w:color w:val="auto"/>
        </w:rPr>
        <w:t>服务要求</w:t>
      </w:r>
      <w:bookmarkEnd w:id="249"/>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2.2.1 </w:t>
      </w:r>
      <w:r>
        <w:rPr>
          <w:rFonts w:hint="eastAsia" w:ascii="宋体" w:hAnsi="宋体" w:cs="宋体"/>
          <w:color w:val="auto"/>
          <w:sz w:val="24"/>
          <w:szCs w:val="24"/>
        </w:rPr>
        <w:t>指派2名律师或实习律师作为法律顾问助理开展具体法律服务工作。</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2.2.2 </w:t>
      </w:r>
      <w:r>
        <w:rPr>
          <w:rFonts w:hint="eastAsia" w:ascii="宋体" w:hAnsi="宋体" w:cs="宋体"/>
          <w:color w:val="auto"/>
          <w:sz w:val="24"/>
          <w:szCs w:val="24"/>
        </w:rPr>
        <w:t>法律顾问助理不参与行政复议、诉讼的出庭应诉工作，相关工作由顾问律师或指派顾问团队内专业律师参与。</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2.2.3 </w:t>
      </w:r>
      <w:r>
        <w:rPr>
          <w:rFonts w:hint="eastAsia" w:ascii="宋体" w:hAnsi="宋体" w:cs="宋体"/>
          <w:color w:val="auto"/>
          <w:sz w:val="24"/>
          <w:szCs w:val="24"/>
        </w:rPr>
        <w:t>法律顾问助理应具有国家承认的高等院校全日制本科以上学历，并取得国家法律职业资格证书。</w:t>
      </w:r>
    </w:p>
    <w:p>
      <w:pPr>
        <w:wordWrap w:val="0"/>
        <w:spacing w:line="360" w:lineRule="auto"/>
        <w:ind w:firstLine="480" w:firstLineChars="200"/>
        <w:rPr>
          <w:rFonts w:ascii="宋体" w:hAnsi="宋体" w:cs="宋体"/>
          <w:color w:val="auto"/>
          <w:sz w:val="24"/>
          <w:szCs w:val="24"/>
        </w:rPr>
      </w:pPr>
      <w:r>
        <w:rPr>
          <w:rFonts w:ascii="宋体" w:hAnsi="宋体" w:cs="宋体"/>
          <w:color w:val="auto"/>
          <w:sz w:val="24"/>
          <w:szCs w:val="24"/>
        </w:rPr>
        <w:t>2.2.</w:t>
      </w:r>
      <w:r>
        <w:rPr>
          <w:rFonts w:hint="eastAsia" w:ascii="宋体" w:hAnsi="宋体" w:cs="宋体"/>
          <w:color w:val="auto"/>
          <w:sz w:val="24"/>
          <w:szCs w:val="24"/>
        </w:rPr>
        <w:t>4</w:t>
      </w:r>
      <w:r>
        <w:rPr>
          <w:rFonts w:ascii="宋体" w:hAnsi="宋体" w:cs="宋体"/>
          <w:color w:val="auto"/>
          <w:sz w:val="24"/>
          <w:szCs w:val="24"/>
        </w:rPr>
        <w:t xml:space="preserve"> </w:t>
      </w:r>
      <w:r>
        <w:rPr>
          <w:rFonts w:hint="eastAsia" w:ascii="宋体" w:hAnsi="宋体" w:cs="宋体"/>
          <w:color w:val="auto"/>
          <w:sz w:val="24"/>
          <w:szCs w:val="24"/>
        </w:rPr>
        <w:t>法律顾问助理应廉洁奉公，责任心强，遵纪守法，无刑事犯罪记录，应未受过纪律处分、司法行政部门的行政处罚或者律师协会的行业处分。</w:t>
      </w:r>
    </w:p>
    <w:p>
      <w:pPr>
        <w:pStyle w:val="2"/>
        <w:wordWrap w:val="0"/>
        <w:spacing w:before="0" w:after="0" w:line="360" w:lineRule="auto"/>
        <w:jc w:val="left"/>
        <w:rPr>
          <w:rFonts w:ascii="宋体" w:hAnsi="宋体"/>
          <w:color w:val="auto"/>
          <w:sz w:val="28"/>
          <w:szCs w:val="28"/>
        </w:rPr>
      </w:pPr>
      <w:bookmarkStart w:id="250" w:name="_Toc106783305"/>
      <w:bookmarkStart w:id="251" w:name="_Toc20802"/>
      <w:r>
        <w:rPr>
          <w:rFonts w:hint="eastAsia" w:ascii="宋体" w:hAnsi="宋体"/>
          <w:color w:val="auto"/>
          <w:sz w:val="28"/>
          <w:szCs w:val="28"/>
        </w:rPr>
        <w:t>三、服务期</w:t>
      </w:r>
      <w:bookmarkEnd w:id="250"/>
      <w:bookmarkEnd w:id="251"/>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确定提供法律服务供应商后，由市执法局与律师事务所签订法律服务合同，合同期限为2年。</w:t>
      </w:r>
    </w:p>
    <w:p>
      <w:pPr>
        <w:pStyle w:val="2"/>
        <w:wordWrap w:val="0"/>
        <w:spacing w:before="0" w:after="0" w:line="360" w:lineRule="auto"/>
        <w:jc w:val="left"/>
        <w:rPr>
          <w:rFonts w:ascii="宋体" w:hAnsi="宋体"/>
          <w:color w:val="auto"/>
          <w:sz w:val="28"/>
          <w:szCs w:val="28"/>
        </w:rPr>
      </w:pPr>
      <w:bookmarkStart w:id="252" w:name="_Toc8588"/>
      <w:bookmarkStart w:id="253" w:name="_Toc106783306"/>
      <w:bookmarkStart w:id="254" w:name="_Toc14465"/>
      <w:r>
        <w:rPr>
          <w:rFonts w:hint="eastAsia" w:ascii="宋体" w:hAnsi="宋体"/>
          <w:color w:val="auto"/>
          <w:sz w:val="28"/>
          <w:szCs w:val="28"/>
        </w:rPr>
        <w:t>四、</w:t>
      </w:r>
      <w:bookmarkEnd w:id="252"/>
      <w:r>
        <w:rPr>
          <w:rFonts w:hint="eastAsia" w:ascii="宋体" w:hAnsi="宋体"/>
          <w:color w:val="auto"/>
          <w:sz w:val="28"/>
          <w:szCs w:val="28"/>
        </w:rPr>
        <w:t>服务地点</w:t>
      </w:r>
      <w:bookmarkEnd w:id="253"/>
      <w:bookmarkEnd w:id="254"/>
    </w:p>
    <w:p>
      <w:pPr>
        <w:pStyle w:val="27"/>
        <w:widowControl/>
        <w:wordWrap w:val="0"/>
        <w:spacing w:line="360" w:lineRule="auto"/>
        <w:ind w:firstLine="480" w:firstLineChars="200"/>
        <w:rPr>
          <w:rFonts w:ascii="宋体" w:hAnsi="宋体" w:cs="微软雅黑"/>
          <w:color w:val="auto"/>
          <w:sz w:val="27"/>
          <w:szCs w:val="27"/>
        </w:rPr>
      </w:pPr>
      <w:r>
        <w:rPr>
          <w:rFonts w:hint="eastAsia" w:ascii="宋体" w:hAnsi="宋体" w:cs="宋体"/>
          <w:color w:val="auto"/>
          <w:shd w:val="clear" w:color="auto" w:fill="FFFFFF"/>
        </w:rPr>
        <w:t>服务地点为市执法局政策法规处，</w:t>
      </w:r>
      <w:r>
        <w:rPr>
          <w:rFonts w:hint="eastAsia" w:ascii="宋体" w:hAnsi="宋体" w:cs="宋体"/>
          <w:color w:val="auto"/>
          <w:shd w:val="clear" w:color="auto" w:fill="FFFFFF"/>
          <w:lang w:val="en-US" w:eastAsia="zh-CN"/>
        </w:rPr>
        <w:t>成交人指派</w:t>
      </w:r>
      <w:r>
        <w:rPr>
          <w:rFonts w:hint="eastAsia" w:ascii="宋体" w:hAnsi="宋体" w:cs="宋体"/>
          <w:color w:val="auto"/>
          <w:sz w:val="24"/>
          <w:szCs w:val="24"/>
        </w:rPr>
        <w:t>2名律师或实习律师</w:t>
      </w:r>
      <w:r>
        <w:rPr>
          <w:rFonts w:hint="eastAsia" w:ascii="宋体" w:hAnsi="宋体" w:cs="宋体"/>
          <w:color w:val="auto"/>
          <w:shd w:val="clear" w:color="auto" w:fill="FFFFFF"/>
        </w:rPr>
        <w:t>采取坐班服务制。</w:t>
      </w:r>
    </w:p>
    <w:p>
      <w:pPr>
        <w:pStyle w:val="2"/>
        <w:wordWrap w:val="0"/>
        <w:spacing w:before="0" w:after="0" w:line="360" w:lineRule="auto"/>
        <w:jc w:val="left"/>
        <w:rPr>
          <w:rFonts w:ascii="宋体" w:hAnsi="宋体"/>
          <w:color w:val="auto"/>
          <w:sz w:val="28"/>
          <w:szCs w:val="28"/>
        </w:rPr>
      </w:pPr>
      <w:bookmarkStart w:id="255" w:name="_Toc22893"/>
      <w:bookmarkStart w:id="256" w:name="_Toc106783307"/>
      <w:r>
        <w:rPr>
          <w:rFonts w:hint="eastAsia" w:ascii="宋体" w:hAnsi="宋体"/>
          <w:color w:val="auto"/>
          <w:sz w:val="28"/>
          <w:szCs w:val="28"/>
        </w:rPr>
        <w:t>五、报价要求</w:t>
      </w:r>
      <w:bookmarkEnd w:id="255"/>
      <w:bookmarkEnd w:id="256"/>
    </w:p>
    <w:p>
      <w:pPr>
        <w:pStyle w:val="27"/>
        <w:widowControl/>
        <w:wordWrap w:val="0"/>
        <w:spacing w:line="360" w:lineRule="auto"/>
        <w:ind w:firstLine="480" w:firstLineChars="200"/>
        <w:jc w:val="left"/>
        <w:rPr>
          <w:rFonts w:ascii="宋体" w:hAnsi="宋体" w:cs="微软雅黑"/>
          <w:color w:val="auto"/>
        </w:rPr>
      </w:pPr>
      <w:r>
        <w:rPr>
          <w:rFonts w:ascii="宋体" w:hAnsi="宋体" w:cs="宋体"/>
          <w:color w:val="auto"/>
        </w:rPr>
        <w:t xml:space="preserve">5.1 </w:t>
      </w:r>
      <w:r>
        <w:rPr>
          <w:rFonts w:hint="eastAsia" w:ascii="宋体" w:hAnsi="宋体" w:cs="宋体"/>
          <w:color w:val="auto"/>
        </w:rPr>
        <w:t>本次采购为整体采购，供应商必须对采购项目的所有内容及服务进行响应。</w:t>
      </w:r>
    </w:p>
    <w:p>
      <w:pPr>
        <w:pStyle w:val="27"/>
        <w:widowControl/>
        <w:wordWrap w:val="0"/>
        <w:spacing w:line="360" w:lineRule="auto"/>
        <w:ind w:firstLine="480" w:firstLineChars="200"/>
        <w:jc w:val="left"/>
        <w:rPr>
          <w:rFonts w:ascii="宋体" w:hAnsi="宋体" w:cs="微软雅黑"/>
          <w:color w:val="auto"/>
        </w:rPr>
      </w:pPr>
      <w:r>
        <w:rPr>
          <w:rFonts w:ascii="宋体" w:hAnsi="宋体" w:cs="宋体"/>
          <w:color w:val="auto"/>
        </w:rPr>
        <w:t xml:space="preserve">5.2 </w:t>
      </w:r>
      <w:r>
        <w:rPr>
          <w:rFonts w:hint="eastAsia" w:ascii="宋体" w:hAnsi="宋体" w:cs="宋体"/>
          <w:color w:val="auto"/>
        </w:rPr>
        <w:t>采购人不接受供应商任何因遗漏报价而发生的费用追加，因供应商违反《劳动法》等法律法规而造成采购人的连带责任和损失全部由供应商承担。</w:t>
      </w:r>
    </w:p>
    <w:p>
      <w:pPr>
        <w:pStyle w:val="27"/>
        <w:widowControl/>
        <w:wordWrap w:val="0"/>
        <w:spacing w:line="360" w:lineRule="auto"/>
        <w:ind w:firstLine="480" w:firstLineChars="200"/>
        <w:jc w:val="left"/>
        <w:rPr>
          <w:rFonts w:ascii="宋体" w:hAnsi="宋体" w:cs="微软雅黑"/>
          <w:color w:val="auto"/>
        </w:rPr>
      </w:pPr>
      <w:r>
        <w:rPr>
          <w:rFonts w:ascii="宋体" w:hAnsi="宋体" w:cs="宋体"/>
          <w:color w:val="auto"/>
        </w:rPr>
        <w:t xml:space="preserve">5.3 </w:t>
      </w:r>
      <w:r>
        <w:rPr>
          <w:rFonts w:hint="eastAsia" w:ascii="宋体" w:hAnsi="宋体" w:cs="宋体"/>
          <w:color w:val="auto"/>
        </w:rPr>
        <w:t>报价应包含日常加班、各种突发应急事件等所需之费用，采购人不再另行支付。</w:t>
      </w:r>
    </w:p>
    <w:p>
      <w:pPr>
        <w:pStyle w:val="27"/>
        <w:widowControl/>
        <w:wordWrap w:val="0"/>
        <w:spacing w:line="360" w:lineRule="auto"/>
        <w:ind w:firstLine="480" w:firstLineChars="200"/>
        <w:jc w:val="left"/>
        <w:rPr>
          <w:rFonts w:ascii="宋体" w:hAnsi="宋体" w:cs="微软雅黑"/>
          <w:color w:val="auto"/>
        </w:rPr>
      </w:pPr>
      <w:r>
        <w:rPr>
          <w:rFonts w:ascii="宋体" w:hAnsi="宋体" w:cs="宋体"/>
          <w:color w:val="auto"/>
        </w:rPr>
        <w:t xml:space="preserve">5.4 </w:t>
      </w:r>
      <w:r>
        <w:rPr>
          <w:rFonts w:hint="eastAsia" w:ascii="宋体" w:hAnsi="宋体" w:cs="宋体"/>
          <w:color w:val="auto"/>
        </w:rPr>
        <w:t>供应商的报价在成交后合同实施过程中不因市场或政策价格的调整而增减。</w:t>
      </w:r>
    </w:p>
    <w:p>
      <w:pPr>
        <w:pStyle w:val="27"/>
        <w:widowControl/>
        <w:wordWrap w:val="0"/>
        <w:spacing w:line="360" w:lineRule="auto"/>
        <w:ind w:firstLine="481" w:firstLineChars="200"/>
        <w:jc w:val="left"/>
        <w:rPr>
          <w:rFonts w:hint="default" w:ascii="宋体" w:hAnsi="宋体" w:eastAsia="宋体" w:cs="宋体"/>
          <w:b/>
          <w:bCs/>
          <w:color w:val="auto"/>
          <w:lang w:val="en-US" w:eastAsia="zh-CN"/>
        </w:rPr>
      </w:pPr>
      <w:r>
        <w:rPr>
          <w:rFonts w:hint="eastAsia" w:ascii="宋体" w:hAnsi="宋体" w:cs="宋体"/>
          <w:b/>
          <w:bCs/>
          <w:color w:val="auto"/>
        </w:rPr>
        <w:t>★</w:t>
      </w:r>
      <w:r>
        <w:rPr>
          <w:rFonts w:ascii="宋体" w:hAnsi="宋体" w:cs="宋体"/>
          <w:b/>
          <w:bCs/>
          <w:color w:val="auto"/>
        </w:rPr>
        <w:t xml:space="preserve">5.5 </w:t>
      </w:r>
      <w:r>
        <w:rPr>
          <w:rFonts w:hint="eastAsia" w:ascii="宋体" w:hAnsi="宋体" w:cs="宋体"/>
          <w:b/>
          <w:bCs/>
          <w:color w:val="auto"/>
        </w:rPr>
        <w:t>本次采购为费用包干制，总报价应包括：应发工资（含基本工资、加班工资、岗位、职位、绩效考核、防暑降温费、年终考核）、社保缴费（单位部分）、公积金（单位部分）、工会费、商业保险、管理费、税金、招标代理服务费等为服务本项目可能发生的一切费用。供应商一旦成交，采购人将不会对其报价做出其他补偿。</w:t>
      </w:r>
      <w:r>
        <w:rPr>
          <w:rFonts w:hint="eastAsia" w:ascii="宋体" w:hAnsi="宋体" w:cs="宋体"/>
          <w:b/>
          <w:bCs/>
          <w:color w:val="auto"/>
          <w:lang w:val="en-US" w:eastAsia="zh-CN"/>
        </w:rPr>
        <w:t>供应商应提供书面承诺函并加盖公章。</w:t>
      </w:r>
    </w:p>
    <w:p>
      <w:pPr>
        <w:pStyle w:val="27"/>
        <w:widowControl/>
        <w:wordWrap w:val="0"/>
        <w:spacing w:line="360" w:lineRule="auto"/>
        <w:ind w:firstLine="480" w:firstLineChars="200"/>
        <w:jc w:val="left"/>
        <w:rPr>
          <w:rStyle w:val="87"/>
          <w:rFonts w:hint="eastAsia" w:ascii="宋体" w:hAnsi="宋体"/>
          <w:b/>
          <w:color w:val="auto"/>
        </w:rPr>
      </w:pPr>
      <w:r>
        <w:rPr>
          <w:rFonts w:hint="eastAsia" w:ascii="宋体" w:hAnsi="宋体" w:cs="宋体"/>
          <w:color w:val="auto"/>
        </w:rPr>
        <w:t>★</w:t>
      </w:r>
      <w:r>
        <w:rPr>
          <w:rFonts w:ascii="宋体" w:hAnsi="宋体" w:cs="宋体"/>
          <w:b/>
          <w:bCs/>
          <w:color w:val="auto"/>
        </w:rPr>
        <w:t xml:space="preserve">5.6 </w:t>
      </w:r>
      <w:r>
        <w:rPr>
          <w:rStyle w:val="87"/>
          <w:rFonts w:ascii="宋体" w:hAnsi="宋体"/>
          <w:b/>
          <w:color w:val="auto"/>
        </w:rPr>
        <w:t>本次采购最高限价为</w:t>
      </w:r>
      <w:r>
        <w:rPr>
          <w:rStyle w:val="87"/>
          <w:rFonts w:hint="eastAsia" w:ascii="宋体" w:hAnsi="宋体"/>
          <w:b/>
          <w:color w:val="auto"/>
        </w:rPr>
        <w:t>550</w:t>
      </w:r>
      <w:r>
        <w:rPr>
          <w:rStyle w:val="87"/>
          <w:rFonts w:hint="eastAsia" w:ascii="宋体" w:hAnsi="宋体"/>
          <w:b/>
          <w:color w:val="auto"/>
          <w:lang w:val="en-US" w:eastAsia="zh-CN"/>
        </w:rPr>
        <w:t>,</w:t>
      </w:r>
      <w:r>
        <w:rPr>
          <w:rStyle w:val="87"/>
          <w:rFonts w:hint="eastAsia" w:ascii="宋体" w:hAnsi="宋体"/>
          <w:b/>
          <w:color w:val="auto"/>
        </w:rPr>
        <w:t>000.00元</w:t>
      </w:r>
      <w:r>
        <w:rPr>
          <w:rStyle w:val="87"/>
          <w:rFonts w:ascii="宋体" w:hAnsi="宋体"/>
          <w:b/>
          <w:color w:val="auto"/>
        </w:rPr>
        <w:t>，</w:t>
      </w:r>
      <w:r>
        <w:rPr>
          <w:rStyle w:val="87"/>
          <w:rFonts w:hint="eastAsia" w:ascii="宋体" w:hAnsi="宋体"/>
          <w:b/>
          <w:color w:val="auto"/>
        </w:rPr>
        <w:t>服务期限为两年，</w:t>
      </w:r>
      <w:r>
        <w:rPr>
          <w:rStyle w:val="87"/>
          <w:rFonts w:ascii="宋体" w:hAnsi="宋体"/>
          <w:b/>
          <w:color w:val="auto"/>
        </w:rPr>
        <w:t>供应商</w:t>
      </w:r>
      <w:r>
        <w:rPr>
          <w:rStyle w:val="87"/>
          <w:rFonts w:hint="eastAsia" w:ascii="宋体" w:hAnsi="宋体"/>
          <w:b/>
          <w:color w:val="auto"/>
          <w:lang w:val="en-US" w:eastAsia="zh-CN"/>
        </w:rPr>
        <w:t>任意一次的</w:t>
      </w:r>
      <w:r>
        <w:rPr>
          <w:rStyle w:val="87"/>
          <w:rFonts w:ascii="宋体" w:hAnsi="宋体"/>
          <w:b/>
          <w:color w:val="auto"/>
        </w:rPr>
        <w:t>报价不得超过此最高限价，否则作无效报价处理。</w:t>
      </w:r>
    </w:p>
    <w:p>
      <w:pPr>
        <w:pStyle w:val="2"/>
        <w:wordWrap w:val="0"/>
        <w:spacing w:before="0" w:after="0" w:line="360" w:lineRule="auto"/>
        <w:jc w:val="left"/>
        <w:rPr>
          <w:rFonts w:ascii="宋体" w:hAnsi="宋体"/>
          <w:color w:val="auto"/>
          <w:sz w:val="28"/>
          <w:szCs w:val="28"/>
        </w:rPr>
      </w:pPr>
      <w:bookmarkStart w:id="257" w:name="_Toc14816"/>
      <w:bookmarkStart w:id="258" w:name="_Toc106783308"/>
      <w:r>
        <w:rPr>
          <w:rFonts w:hint="eastAsia" w:ascii="宋体" w:hAnsi="宋体"/>
          <w:color w:val="auto"/>
          <w:sz w:val="28"/>
          <w:szCs w:val="28"/>
        </w:rPr>
        <w:t>六、付款方式</w:t>
      </w:r>
      <w:bookmarkEnd w:id="257"/>
      <w:bookmarkEnd w:id="258"/>
    </w:p>
    <w:p>
      <w:pPr>
        <w:pStyle w:val="27"/>
        <w:widowControl/>
        <w:wordWrap w:val="0"/>
        <w:spacing w:line="360" w:lineRule="auto"/>
        <w:ind w:firstLine="481" w:firstLineChars="200"/>
        <w:jc w:val="left"/>
        <w:rPr>
          <w:rStyle w:val="87"/>
          <w:rFonts w:hint="eastAsia" w:ascii="宋体" w:hAnsi="宋体"/>
          <w:bCs/>
          <w:color w:val="auto"/>
          <w:highlight w:val="none"/>
        </w:rPr>
      </w:pPr>
      <w:r>
        <w:rPr>
          <w:rStyle w:val="87"/>
          <w:rFonts w:hint="eastAsia" w:ascii="宋体" w:hAnsi="宋体"/>
          <w:b/>
          <w:bCs w:val="0"/>
          <w:color w:val="auto"/>
          <w:highlight w:val="none"/>
          <w:lang w:val="en-US" w:eastAsia="zh-CN"/>
        </w:rPr>
        <w:t xml:space="preserve">6.1 </w:t>
      </w:r>
      <w:r>
        <w:rPr>
          <w:rStyle w:val="87"/>
          <w:rFonts w:hint="eastAsia" w:ascii="宋体" w:hAnsi="宋体"/>
          <w:bCs/>
          <w:color w:val="auto"/>
          <w:highlight w:val="none"/>
        </w:rPr>
        <w:t>合同正式签订后，采购人凭成交供应商提供的增值税专用发票，每半</w:t>
      </w:r>
    </w:p>
    <w:p>
      <w:pPr>
        <w:pStyle w:val="27"/>
        <w:widowControl/>
        <w:wordWrap w:val="0"/>
        <w:spacing w:line="360" w:lineRule="auto"/>
        <w:ind w:firstLine="0" w:firstLineChars="0"/>
        <w:jc w:val="left"/>
        <w:rPr>
          <w:rStyle w:val="87"/>
          <w:rFonts w:hint="eastAsia" w:ascii="宋体" w:hAnsi="宋体"/>
          <w:bCs/>
          <w:color w:val="auto"/>
          <w:highlight w:val="none"/>
        </w:rPr>
      </w:pPr>
      <w:r>
        <w:rPr>
          <w:rStyle w:val="87"/>
          <w:rFonts w:hint="eastAsia" w:ascii="宋体" w:hAnsi="宋体"/>
          <w:bCs/>
          <w:color w:val="auto"/>
          <w:highlight w:val="none"/>
        </w:rPr>
        <w:t>年支付一次法律顾问助理包干费用，支付时间在每年度的一月和七月。</w:t>
      </w:r>
    </w:p>
    <w:bookmarkEnd w:id="248"/>
    <w:p>
      <w:pPr>
        <w:pStyle w:val="2"/>
        <w:wordWrap w:val="0"/>
        <w:spacing w:before="0" w:after="0" w:line="360" w:lineRule="auto"/>
        <w:jc w:val="left"/>
        <w:rPr>
          <w:rFonts w:ascii="宋体" w:hAnsi="宋体"/>
          <w:color w:val="auto"/>
          <w:sz w:val="28"/>
          <w:szCs w:val="28"/>
        </w:rPr>
      </w:pPr>
      <w:bookmarkStart w:id="259" w:name="_Toc14672"/>
      <w:bookmarkStart w:id="260" w:name="_Toc106783309"/>
      <w:bookmarkStart w:id="261" w:name="_Toc18989"/>
      <w:r>
        <w:rPr>
          <w:rFonts w:hint="eastAsia" w:ascii="宋体" w:hAnsi="宋体"/>
          <w:color w:val="auto"/>
          <w:sz w:val="28"/>
          <w:szCs w:val="28"/>
        </w:rPr>
        <w:t>七、质量保证</w:t>
      </w:r>
      <w:bookmarkEnd w:id="259"/>
      <w:bookmarkEnd w:id="260"/>
      <w:bookmarkEnd w:id="261"/>
    </w:p>
    <w:p>
      <w:pPr>
        <w:pStyle w:val="27"/>
        <w:widowControl/>
        <w:wordWrap w:val="0"/>
        <w:spacing w:line="360" w:lineRule="auto"/>
        <w:ind w:firstLine="480"/>
        <w:jc w:val="left"/>
        <w:rPr>
          <w:rFonts w:ascii="宋体" w:hAnsi="宋体" w:cs="微软雅黑"/>
          <w:color w:val="auto"/>
        </w:rPr>
      </w:pPr>
      <w:bookmarkStart w:id="262" w:name="_Toc22336"/>
      <w:r>
        <w:rPr>
          <w:rFonts w:ascii="宋体" w:hAnsi="宋体" w:cs="宋体"/>
          <w:b/>
          <w:bCs/>
          <w:color w:val="auto"/>
        </w:rPr>
        <w:t xml:space="preserve">7.1 </w:t>
      </w:r>
      <w:r>
        <w:rPr>
          <w:rFonts w:hint="eastAsia" w:ascii="宋体" w:hAnsi="宋体" w:cs="宋体"/>
          <w:color w:val="auto"/>
        </w:rPr>
        <w:t>成交供应商成交后，必须接受使用经采购人认可的法律服务合同。</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7.2 </w:t>
      </w:r>
      <w:r>
        <w:rPr>
          <w:rFonts w:hint="eastAsia" w:ascii="宋体" w:hAnsi="宋体" w:cs="宋体"/>
          <w:color w:val="auto"/>
        </w:rPr>
        <w:t>在提供法律服务过程中，成交供应商及服务律师必须严格遵守《中华人民共和国律师事务所管理办法》、《律师法》等相关法律法规制定的相关规定，认真、诚信、勤勉、尽责、专业、积极、及时地开展和完成采购人交办的各项法律事务工作，尽最大努力维护采购人的合法权益，不得作出任何损害采购人合法权益的行为和不作为，并对获知的采购人商业秘密和其他一切信息负有严格保密责任，非由法律规定或者采购人书面同意，不得向任何第三方披露(如采购人提出要求，成交供应商须无条件按采购人提供版本与采购人签订保密协议)。成交供应商保密责任不因任何情形而终止或解除。</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7.3 </w:t>
      </w:r>
      <w:r>
        <w:rPr>
          <w:rFonts w:hint="eastAsia" w:ascii="宋体" w:hAnsi="宋体" w:cs="宋体"/>
          <w:color w:val="auto"/>
        </w:rPr>
        <w:t>成交供应商及服务律师与采购人交办的法律事务存在利害关系，可能影响公正履行职责的，应自觉、主动申请回避。</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7.4 </w:t>
      </w:r>
      <w:r>
        <w:rPr>
          <w:rFonts w:hint="eastAsia" w:ascii="宋体" w:hAnsi="宋体" w:cs="宋体"/>
          <w:color w:val="auto"/>
        </w:rPr>
        <w:t>成交供应商及服务律师在涉及采购人的对抗性案件或者交易活动中，未经采购人书面同意，不得担任与采购人具有法律和经济上利益冲突的另一方的法律顾问或者代理人。</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7.5 </w:t>
      </w:r>
      <w:r>
        <w:rPr>
          <w:rFonts w:hint="eastAsia" w:ascii="宋体" w:hAnsi="宋体" w:cs="宋体"/>
          <w:color w:val="auto"/>
        </w:rPr>
        <w:t>在提供法律服务过程中，如采购人提供的有关文件和资料不齐全或明显有误，服务律师应尽职、主动、及时告知采购人，要求并引导采购人及其相关工作人员补充完整准确；如成交供应商服务律师未尽上述义务导致采购人提供的文件、材料欠缺及有关情况有误引致成交供应商出具不恰当的法律意见或建议，成交供应商应承担由此而产生一切法律后果和责任，并对因此造成的采购人损失承担全额赔偿责任。</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7.6 </w:t>
      </w:r>
      <w:r>
        <w:rPr>
          <w:rFonts w:hint="eastAsia" w:ascii="宋体" w:hAnsi="宋体" w:cs="宋体"/>
          <w:color w:val="auto"/>
        </w:rPr>
        <w:t>成交供应商应对采购人业务单独建档，保存完整的工作记录，对涉及采购人的法律文件妥善保管。</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7.7 </w:t>
      </w:r>
      <w:r>
        <w:rPr>
          <w:rFonts w:hint="eastAsia" w:ascii="宋体" w:hAnsi="宋体" w:cs="宋体"/>
          <w:color w:val="auto"/>
        </w:rPr>
        <w:t>成交供应商及服务律师不得将其应当经办的本项目项下的法律事务转委托或分包给其他律师事务所或未指定的其他律师（或其他人）办理。</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7.8 </w:t>
      </w:r>
      <w:r>
        <w:rPr>
          <w:rFonts w:hint="eastAsia" w:ascii="宋体" w:hAnsi="宋体" w:cs="宋体"/>
          <w:color w:val="auto"/>
        </w:rPr>
        <w:t>如成交供应商及服务律师等未按要求履行项目义务（包括但不限于不尽或未尽履行法律顾问服务义务）或违反相关约定，采购人有权对成交供应商的法律服务费作出不低于￥2000元/次的扣罚处理；情节严重的，采购人有权即时取消成交供应商的代理资格，单方解除或终止合同，同时追究成交供应商违约责任并有权要求成交供应商退还部分或者全部已付的法律服务费，情节严重的情形包括但不限于：</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（1）违反诚实信用和服务承诺，没有严格执行相关质量、服务和收费标准，损害采购人利益的；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（2）未经采购人书面同意，擅自更换指派律师的；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（3）在法律服务过程中，利用提供虚假信息、误导或欺骗采购人等方式，非法获取与委托项目有关的任何非法利益的；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（4）未能按实际及时完成相关工作给项目造成严重影响或不良后果的；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（5）未能按采购人工作时间要求完成任务累计达5次的；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（6）服务期内拒绝接受任务达3次的；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（7）服务期内任务完成达不到采购人要求、给采购人工作造成严重影响或不良后果的；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（8）违反相关法律法规、规定等出现重大失误造成恶劣影响的；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（9）拒绝接受采购人及相关部门监督和检查的；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（10）因违法违规违纪行为，受到行业监督管理部门通报、查处等；</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（11）非法泄露采购人信息，违反保密规定的；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（12）遗失采购人重要资料文件的；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（13）在采购人组织的法律顾问年度履职评价中被评定为不合格的；</w:t>
      </w:r>
    </w:p>
    <w:p>
      <w:pPr>
        <w:pStyle w:val="27"/>
        <w:widowControl/>
        <w:wordWrap w:val="0"/>
        <w:spacing w:line="360" w:lineRule="auto"/>
        <w:ind w:firstLine="480"/>
        <w:jc w:val="left"/>
        <w:rPr>
          <w:rFonts w:ascii="宋体" w:hAnsi="宋体" w:cs="微软雅黑"/>
          <w:color w:val="auto"/>
        </w:rPr>
      </w:pPr>
      <w:r>
        <w:rPr>
          <w:rFonts w:hint="eastAsia" w:ascii="宋体" w:hAnsi="宋体" w:cs="宋体"/>
          <w:color w:val="auto"/>
        </w:rPr>
        <w:t>（14）违反相关法律法规或本合同规定、失职失误导致采购人蒙受损失或采购人认为严重的其他情形。</w:t>
      </w:r>
    </w:p>
    <w:p>
      <w:pPr>
        <w:pStyle w:val="27"/>
        <w:widowControl/>
        <w:wordWrap w:val="0"/>
        <w:spacing w:line="360" w:lineRule="auto"/>
        <w:ind w:firstLine="481" w:firstLineChars="200"/>
        <w:jc w:val="left"/>
        <w:rPr>
          <w:rFonts w:ascii="宋体" w:hAnsi="宋体" w:cs="微软雅黑"/>
          <w:color w:val="auto"/>
        </w:rPr>
      </w:pPr>
      <w:r>
        <w:rPr>
          <w:rFonts w:ascii="宋体" w:hAnsi="宋体" w:cs="宋体"/>
          <w:b/>
          <w:bCs/>
          <w:color w:val="auto"/>
        </w:rPr>
        <w:t xml:space="preserve">7.9 </w:t>
      </w:r>
      <w:r>
        <w:rPr>
          <w:rFonts w:hint="eastAsia" w:ascii="宋体" w:hAnsi="宋体" w:cs="宋体"/>
          <w:color w:val="auto"/>
        </w:rPr>
        <w:t>由于成交供应商原因导致本合同解除或终止，成交供应商应按成交价20%的比例向采购人支付违约金。</w:t>
      </w:r>
    </w:p>
    <w:p>
      <w:pPr>
        <w:pStyle w:val="27"/>
        <w:widowControl/>
        <w:wordWrap w:val="0"/>
        <w:spacing w:line="360" w:lineRule="auto"/>
        <w:ind w:firstLine="481" w:firstLineChars="200"/>
        <w:jc w:val="left"/>
        <w:rPr>
          <w:rFonts w:ascii="宋体" w:hAnsi="宋体" w:cs="微软雅黑"/>
          <w:color w:val="auto"/>
        </w:rPr>
      </w:pPr>
      <w:r>
        <w:rPr>
          <w:rFonts w:ascii="宋体" w:hAnsi="宋体" w:cs="宋体"/>
          <w:b/>
          <w:bCs/>
          <w:color w:val="auto"/>
        </w:rPr>
        <w:t xml:space="preserve">7.10 </w:t>
      </w:r>
      <w:r>
        <w:rPr>
          <w:rFonts w:hint="eastAsia" w:ascii="宋体" w:hAnsi="宋体" w:cs="宋体"/>
          <w:color w:val="auto"/>
        </w:rPr>
        <w:t>成交供应商应根据相关法律法规等规定对自身或指派律师等由于不尽或未尽履行法律服务义务(包括但不限于故意、过失等)或违反相关约定给采购人造成的经济、声誉和其他损失承担相应的法律和经济责任。</w:t>
      </w:r>
    </w:p>
    <w:p>
      <w:pPr>
        <w:pStyle w:val="27"/>
        <w:widowControl/>
        <w:wordWrap w:val="0"/>
        <w:spacing w:line="360" w:lineRule="auto"/>
        <w:ind w:firstLine="481" w:firstLineChars="200"/>
        <w:jc w:val="left"/>
        <w:rPr>
          <w:rFonts w:ascii="宋体" w:hAnsi="宋体" w:cs="微软雅黑"/>
          <w:color w:val="auto"/>
        </w:rPr>
      </w:pPr>
      <w:r>
        <w:rPr>
          <w:rFonts w:ascii="宋体" w:hAnsi="宋体" w:cs="宋体"/>
          <w:b/>
          <w:bCs/>
          <w:color w:val="auto"/>
        </w:rPr>
        <w:t xml:space="preserve">7.11 </w:t>
      </w:r>
      <w:r>
        <w:rPr>
          <w:rFonts w:hint="eastAsia" w:ascii="宋体" w:hAnsi="宋体" w:cs="宋体"/>
          <w:color w:val="auto"/>
        </w:rPr>
        <w:t>服务期限内，成交供应商须根据法律服务工作开展情况、个案解决过程中发现的特殊或共性问题、存在风险等按年或就个案向采购人报送服务总结，适时提醒采购人在以后的工作中及时改进工作，防范风险。</w:t>
      </w:r>
    </w:p>
    <w:p>
      <w:pPr>
        <w:pStyle w:val="27"/>
        <w:widowControl/>
        <w:wordWrap w:val="0"/>
        <w:spacing w:line="360" w:lineRule="auto"/>
        <w:ind w:firstLine="481" w:firstLineChars="200"/>
        <w:jc w:val="left"/>
        <w:rPr>
          <w:rFonts w:ascii="宋体" w:hAnsi="宋体" w:cs="微软雅黑"/>
          <w:color w:val="auto"/>
        </w:rPr>
      </w:pPr>
      <w:r>
        <w:rPr>
          <w:rFonts w:ascii="宋体" w:hAnsi="宋体" w:cs="宋体"/>
          <w:b/>
          <w:bCs/>
          <w:color w:val="auto"/>
        </w:rPr>
        <w:t xml:space="preserve">7.12 </w:t>
      </w:r>
      <w:r>
        <w:rPr>
          <w:rFonts w:hint="eastAsia" w:ascii="宋体" w:hAnsi="宋体" w:cs="宋体"/>
          <w:color w:val="auto"/>
        </w:rPr>
        <w:t>合同有效期内，若采购人非因成交人违约等成交供应商原因单方面解除合同，采购人按成交供应商已服务的案件支付服务费，除此以外不作其它任何补偿或赔偿；若由于成交供应商单方面原因解除合同，采购人有权要求成交供应商退还已收取的采购人全部款项。</w:t>
      </w:r>
    </w:p>
    <w:p>
      <w:pPr>
        <w:pStyle w:val="27"/>
        <w:widowControl/>
        <w:wordWrap w:val="0"/>
        <w:spacing w:line="360" w:lineRule="auto"/>
        <w:ind w:firstLine="480"/>
        <w:jc w:val="left"/>
        <w:rPr>
          <w:rFonts w:ascii="宋体" w:hAnsi="宋体" w:cs="微软雅黑"/>
          <w:color w:val="auto"/>
        </w:rPr>
      </w:pPr>
      <w:r>
        <w:rPr>
          <w:rFonts w:ascii="宋体" w:hAnsi="宋体" w:cs="宋体"/>
          <w:b/>
          <w:bCs/>
          <w:color w:val="auto"/>
        </w:rPr>
        <w:t xml:space="preserve">7.13 </w:t>
      </w:r>
      <w:r>
        <w:rPr>
          <w:rFonts w:hint="eastAsia" w:ascii="宋体" w:hAnsi="宋体" w:cs="宋体"/>
          <w:color w:val="auto"/>
        </w:rPr>
        <w:t>成交供应商必须保证提交的服务工作成果及文件不侵犯任何第三方的知识产权并保证不被其他任何第三方要求权利追索，否则由此产生的后果由成交人自行承担，如因此造成采购人损失，应赔偿由此导致的采购人全部损失。</w:t>
      </w:r>
    </w:p>
    <w:p>
      <w:pPr>
        <w:pStyle w:val="27"/>
        <w:widowControl/>
        <w:wordWrap w:val="0"/>
        <w:spacing w:line="360" w:lineRule="auto"/>
        <w:ind w:firstLine="481" w:firstLineChars="200"/>
        <w:rPr>
          <w:rFonts w:ascii="宋体" w:hAnsi="宋体" w:cs="宋体"/>
          <w:color w:val="auto"/>
        </w:rPr>
      </w:pPr>
      <w:r>
        <w:rPr>
          <w:rFonts w:ascii="宋体" w:hAnsi="宋体" w:cs="宋体"/>
          <w:b/>
          <w:bCs/>
          <w:color w:val="auto"/>
        </w:rPr>
        <w:t xml:space="preserve">7.14 </w:t>
      </w:r>
      <w:r>
        <w:rPr>
          <w:rFonts w:hint="eastAsia" w:ascii="宋体" w:hAnsi="宋体" w:cs="宋体"/>
          <w:color w:val="auto"/>
        </w:rPr>
        <w:t>未尽事宜按《中华人民共和国律师事务所管理办法》、《律师法》等相关法律法规以及行业制定的相关规定执行。</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62"/>
    <w:p>
      <w:pPr>
        <w:pStyle w:val="2"/>
        <w:wordWrap w:val="0"/>
        <w:spacing w:before="0" w:after="0" w:line="360" w:lineRule="auto"/>
        <w:jc w:val="left"/>
        <w:rPr>
          <w:rFonts w:ascii="宋体" w:hAnsi="宋体"/>
          <w:color w:val="auto"/>
          <w:sz w:val="28"/>
          <w:szCs w:val="28"/>
        </w:rPr>
      </w:pPr>
      <w:bookmarkStart w:id="263" w:name="_Toc16178"/>
      <w:bookmarkStart w:id="264" w:name="_Toc22871"/>
      <w:bookmarkStart w:id="265" w:name="_Toc10044"/>
      <w:bookmarkStart w:id="266" w:name="_Toc5298"/>
      <w:bookmarkStart w:id="267" w:name="_Toc22765"/>
      <w:bookmarkStart w:id="268" w:name="_Toc22972"/>
      <w:bookmarkStart w:id="269" w:name="_Toc106783310"/>
      <w:bookmarkStart w:id="270" w:name="_Toc26632"/>
      <w:bookmarkStart w:id="271" w:name="_Toc106370132"/>
      <w:bookmarkStart w:id="272" w:name="_Toc5372"/>
      <w:r>
        <w:rPr>
          <w:rFonts w:hint="eastAsia" w:ascii="宋体" w:hAnsi="宋体"/>
          <w:color w:val="auto"/>
          <w:sz w:val="28"/>
          <w:szCs w:val="28"/>
        </w:rPr>
        <w:t>八</w:t>
      </w:r>
      <w:r>
        <w:rPr>
          <w:rFonts w:ascii="宋体" w:hAnsi="宋体"/>
          <w:color w:val="auto"/>
          <w:sz w:val="28"/>
          <w:szCs w:val="28"/>
        </w:rPr>
        <w:t>、合同签订</w:t>
      </w:r>
      <w:bookmarkEnd w:id="263"/>
      <w:bookmarkEnd w:id="264"/>
      <w:bookmarkEnd w:id="265"/>
      <w:bookmarkEnd w:id="266"/>
      <w:bookmarkEnd w:id="267"/>
      <w:bookmarkEnd w:id="268"/>
      <w:bookmarkEnd w:id="269"/>
      <w:bookmarkEnd w:id="270"/>
      <w:bookmarkEnd w:id="271"/>
      <w:bookmarkEnd w:id="272"/>
    </w:p>
    <w:p>
      <w:pPr>
        <w:wordWrap w:val="0"/>
        <w:autoSpaceDE w:val="0"/>
        <w:autoSpaceDN w:val="0"/>
        <w:adjustRightInd w:val="0"/>
        <w:spacing w:line="360" w:lineRule="auto"/>
        <w:ind w:firstLine="481" w:firstLineChars="200"/>
        <w:rPr>
          <w:rFonts w:ascii="宋体" w:hAnsi="宋体" w:cs="宋体"/>
          <w:color w:val="auto"/>
          <w:sz w:val="24"/>
          <w:szCs w:val="24"/>
        </w:rPr>
      </w:pPr>
      <w:r>
        <w:rPr>
          <w:rFonts w:ascii="宋体" w:hAnsi="宋体" w:cs="宋体"/>
          <w:b/>
          <w:bCs/>
          <w:color w:val="auto"/>
          <w:sz w:val="24"/>
          <w:szCs w:val="24"/>
        </w:rPr>
        <w:t xml:space="preserve">8.1 </w:t>
      </w:r>
      <w:r>
        <w:rPr>
          <w:rFonts w:hint="eastAsia" w:ascii="宋体" w:hAnsi="宋体" w:cs="宋体"/>
          <w:color w:val="auto"/>
          <w:sz w:val="24"/>
          <w:szCs w:val="24"/>
        </w:rPr>
        <w:t>成交公告发布后，成交供应商应及时领取《成交通知书》，持《成交通知书》与采购人签订合同，采购文件、成交供应商的报价文件均作为合同订立的基础。</w:t>
      </w:r>
    </w:p>
    <w:p>
      <w:pPr>
        <w:wordWrap w:val="0"/>
        <w:autoSpaceDE w:val="0"/>
        <w:autoSpaceDN w:val="0"/>
        <w:adjustRightInd w:val="0"/>
        <w:spacing w:line="360" w:lineRule="auto"/>
        <w:ind w:firstLine="481" w:firstLineChars="200"/>
        <w:rPr>
          <w:rFonts w:ascii="宋体" w:hAnsi="宋体" w:cs="宋体"/>
          <w:color w:val="auto"/>
          <w:sz w:val="24"/>
          <w:szCs w:val="24"/>
        </w:rPr>
      </w:pPr>
      <w:r>
        <w:rPr>
          <w:rFonts w:ascii="宋体" w:hAnsi="宋体" w:cs="宋体"/>
          <w:b/>
          <w:bCs/>
          <w:color w:val="auto"/>
          <w:sz w:val="24"/>
          <w:szCs w:val="24"/>
        </w:rPr>
        <w:t xml:space="preserve">8.2 </w:t>
      </w:r>
      <w:r>
        <w:rPr>
          <w:rFonts w:hint="eastAsia" w:ascii="宋体" w:hAnsi="宋体" w:cs="宋体"/>
          <w:color w:val="auto"/>
          <w:sz w:val="24"/>
          <w:szCs w:val="24"/>
        </w:rPr>
        <w:t>如成交供应商不能按时和采购人签订合同，采购人有权取消其成交资格，由第二成交候选人依次递补，并按有关规定对其进行处罚。</w:t>
      </w:r>
    </w:p>
    <w:p>
      <w:pPr>
        <w:numPr>
          <w:ilvl w:val="0"/>
          <w:numId w:val="0"/>
        </w:numPr>
        <w:tabs>
          <w:tab w:val="left" w:pos="992"/>
        </w:tabs>
        <w:wordWrap w:val="0"/>
        <w:spacing w:line="360" w:lineRule="auto"/>
        <w:rPr>
          <w:rFonts w:ascii="宋体" w:hAnsi="宋体" w:cs="宋体"/>
          <w:color w:val="auto"/>
          <w:sz w:val="24"/>
        </w:rPr>
      </w:pPr>
    </w:p>
    <w:p>
      <w:pPr>
        <w:pStyle w:val="92"/>
        <w:wordWrap w:val="0"/>
        <w:ind w:firstLine="0" w:firstLineChars="0"/>
        <w:rPr>
          <w:rStyle w:val="87"/>
          <w:color w:val="auto"/>
          <w:szCs w:val="24"/>
        </w:rPr>
      </w:pPr>
    </w:p>
    <w:p>
      <w:pPr>
        <w:keepNext/>
        <w:keepLines/>
        <w:pageBreakBefore/>
        <w:widowControl/>
        <w:wordWrap w:val="0"/>
        <w:spacing w:line="360" w:lineRule="auto"/>
        <w:jc w:val="center"/>
        <w:outlineLvl w:val="0"/>
        <w:rPr>
          <w:rFonts w:ascii="宋体" w:hAnsi="宋体"/>
          <w:b/>
          <w:bCs/>
          <w:color w:val="auto"/>
          <w:sz w:val="36"/>
          <w:szCs w:val="36"/>
        </w:rPr>
      </w:pPr>
      <w:bookmarkStart w:id="273" w:name="_Toc442349375"/>
      <w:bookmarkEnd w:id="273"/>
      <w:bookmarkStart w:id="274" w:name="_Toc481482532"/>
      <w:bookmarkEnd w:id="274"/>
      <w:bookmarkStart w:id="275" w:name="_Toc481482530"/>
      <w:bookmarkEnd w:id="275"/>
      <w:bookmarkStart w:id="276" w:name="_Toc481482531"/>
      <w:bookmarkEnd w:id="276"/>
      <w:bookmarkStart w:id="277" w:name="_Toc481482528"/>
      <w:bookmarkEnd w:id="277"/>
      <w:bookmarkStart w:id="278" w:name="_Toc481482535"/>
      <w:bookmarkEnd w:id="278"/>
      <w:bookmarkStart w:id="279" w:name="_Toc442349377"/>
      <w:bookmarkEnd w:id="279"/>
      <w:bookmarkStart w:id="280" w:name="_Toc422816009"/>
      <w:bookmarkEnd w:id="280"/>
      <w:bookmarkStart w:id="281" w:name="_Toc422816013"/>
      <w:bookmarkEnd w:id="281"/>
      <w:bookmarkStart w:id="282" w:name="_Toc442349374"/>
      <w:bookmarkEnd w:id="282"/>
      <w:bookmarkStart w:id="283" w:name="_Toc422816014"/>
      <w:bookmarkEnd w:id="283"/>
      <w:bookmarkStart w:id="284" w:name="_Toc422816016"/>
      <w:bookmarkEnd w:id="284"/>
      <w:bookmarkStart w:id="285" w:name="_Toc442349373"/>
      <w:bookmarkEnd w:id="285"/>
      <w:bookmarkStart w:id="286" w:name="_Toc442349369"/>
      <w:bookmarkEnd w:id="286"/>
      <w:bookmarkStart w:id="287" w:name="_Toc442349372"/>
      <w:bookmarkEnd w:id="287"/>
      <w:bookmarkStart w:id="288" w:name="_Toc481482533"/>
      <w:bookmarkEnd w:id="288"/>
      <w:bookmarkStart w:id="289" w:name="_Toc422816015"/>
      <w:bookmarkEnd w:id="289"/>
      <w:bookmarkStart w:id="290" w:name="_Toc481482534"/>
      <w:bookmarkEnd w:id="290"/>
      <w:bookmarkStart w:id="291" w:name="_Toc422816012"/>
      <w:bookmarkEnd w:id="291"/>
      <w:bookmarkStart w:id="292" w:name="_Toc481482527"/>
      <w:bookmarkEnd w:id="292"/>
      <w:bookmarkStart w:id="293" w:name="_Toc422816011"/>
      <w:bookmarkEnd w:id="293"/>
      <w:bookmarkStart w:id="294" w:name="_Toc442349370"/>
      <w:bookmarkEnd w:id="294"/>
      <w:bookmarkStart w:id="295" w:name="_Toc442349376"/>
      <w:bookmarkEnd w:id="295"/>
      <w:bookmarkStart w:id="296" w:name="_Toc23858"/>
      <w:bookmarkStart w:id="297" w:name="_Toc5855"/>
      <w:bookmarkStart w:id="298" w:name="_Toc27075"/>
      <w:bookmarkStart w:id="299" w:name="_Toc78368554"/>
      <w:bookmarkStart w:id="300" w:name="_Toc10800"/>
      <w:bookmarkStart w:id="301" w:name="_Toc15434"/>
      <w:bookmarkStart w:id="302" w:name="_Toc4014"/>
      <w:bookmarkStart w:id="303" w:name="_Toc23597"/>
      <w:bookmarkStart w:id="304" w:name="_Toc1420"/>
      <w:r>
        <w:rPr>
          <w:rFonts w:ascii="宋体" w:hAnsi="宋体"/>
          <w:b/>
          <w:bCs/>
          <w:color w:val="auto"/>
          <w:sz w:val="36"/>
          <w:szCs w:val="36"/>
        </w:rPr>
        <w:t>第</w:t>
      </w:r>
      <w:r>
        <w:rPr>
          <w:rFonts w:hint="eastAsia" w:ascii="宋体" w:hAnsi="宋体"/>
          <w:b/>
          <w:bCs/>
          <w:color w:val="auto"/>
          <w:sz w:val="36"/>
          <w:szCs w:val="36"/>
        </w:rPr>
        <w:t>四章  采购合同（参考文本）</w:t>
      </w:r>
      <w:bookmarkEnd w:id="296"/>
      <w:bookmarkEnd w:id="297"/>
      <w:bookmarkEnd w:id="298"/>
      <w:bookmarkEnd w:id="299"/>
      <w:bookmarkEnd w:id="300"/>
      <w:bookmarkEnd w:id="301"/>
      <w:bookmarkEnd w:id="302"/>
      <w:bookmarkEnd w:id="303"/>
      <w:bookmarkEnd w:id="30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85" w:type="dxa"/>
            <w:tcBorders>
              <w:top w:val="single" w:color="auto" w:sz="4" w:space="0"/>
              <w:left w:val="single" w:color="auto" w:sz="4" w:space="0"/>
              <w:bottom w:val="single" w:color="auto" w:sz="4" w:space="0"/>
              <w:right w:val="single" w:color="auto" w:sz="4" w:space="0"/>
            </w:tcBorders>
          </w:tcPr>
          <w:p>
            <w:pPr>
              <w:wordWrap w:val="0"/>
              <w:spacing w:line="360" w:lineRule="auto"/>
              <w:rPr>
                <w:rFonts w:ascii="宋体" w:hAnsi="宋体"/>
                <w:color w:val="auto"/>
                <w:szCs w:val="21"/>
              </w:rPr>
            </w:pPr>
            <w:bookmarkStart w:id="305" w:name="_Hlk85118582"/>
            <w:r>
              <w:rPr>
                <w:rFonts w:hint="eastAsia" w:ascii="宋体" w:hAnsi="宋体"/>
                <w:color w:val="auto"/>
                <w:szCs w:val="21"/>
              </w:rPr>
              <w:t>注释：本格式条款仅作为双方签订合同的参考，为阐明各方的权利和义务，经协商可增加新的条款、修改相关条款， 但不得与磋商文件、响应文件的实质性内容相背离。</w:t>
            </w:r>
          </w:p>
        </w:tc>
      </w:tr>
      <w:bookmarkEnd w:id="305"/>
    </w:tbl>
    <w:p>
      <w:pPr>
        <w:pStyle w:val="27"/>
        <w:widowControl/>
        <w:wordWrap w:val="0"/>
        <w:spacing w:before="75" w:after="75" w:line="360" w:lineRule="auto"/>
        <w:ind w:firstLine="480" w:firstLineChars="200"/>
        <w:rPr>
          <w:rFonts w:ascii="宋体" w:hAnsi="宋体" w:cs="微软雅黑"/>
          <w:color w:val="auto"/>
        </w:rPr>
      </w:pPr>
      <w:r>
        <w:rPr>
          <w:rFonts w:ascii="宋体" w:hAnsi="宋体" w:cs="宋体"/>
          <w:color w:val="auto"/>
        </w:rPr>
        <w:t>甲方：</w:t>
      </w:r>
      <w:r>
        <w:rPr>
          <w:rFonts w:hint="eastAsia" w:ascii="宋体" w:hAnsi="宋体" w:cs="宋体"/>
          <w:color w:val="auto"/>
          <w:u w:val="single"/>
        </w:rPr>
        <w:t>（采购人全称）</w:t>
      </w:r>
    </w:p>
    <w:p>
      <w:pPr>
        <w:pStyle w:val="27"/>
        <w:widowControl/>
        <w:wordWrap w:val="0"/>
        <w:spacing w:before="75" w:after="75" w:line="360" w:lineRule="auto"/>
        <w:ind w:firstLine="480" w:firstLineChars="200"/>
        <w:rPr>
          <w:rFonts w:ascii="宋体" w:hAnsi="宋体" w:cs="微软雅黑"/>
          <w:color w:val="auto"/>
        </w:rPr>
      </w:pPr>
      <w:r>
        <w:rPr>
          <w:rFonts w:hint="eastAsia" w:ascii="宋体" w:hAnsi="宋体" w:cs="宋体"/>
          <w:color w:val="auto"/>
        </w:rPr>
        <w:t>乙方：</w:t>
      </w:r>
      <w:r>
        <w:rPr>
          <w:rFonts w:hint="eastAsia" w:ascii="宋体" w:hAnsi="宋体" w:cs="宋体"/>
          <w:color w:val="auto"/>
          <w:u w:val="single"/>
        </w:rPr>
        <w:t>（成交供应商全称）</w:t>
      </w:r>
    </w:p>
    <w:p>
      <w:pPr>
        <w:pStyle w:val="27"/>
        <w:widowControl/>
        <w:wordWrap w:val="0"/>
        <w:spacing w:before="75" w:after="75" w:line="360" w:lineRule="auto"/>
        <w:ind w:firstLine="480" w:firstLineChars="200"/>
        <w:rPr>
          <w:rFonts w:ascii="宋体" w:hAnsi="宋体" w:cs="微软雅黑"/>
          <w:color w:val="auto"/>
        </w:rPr>
      </w:pPr>
      <w:r>
        <w:rPr>
          <w:rFonts w:hint="eastAsia" w:ascii="宋体" w:hAnsi="宋体" w:cs="宋体"/>
          <w:color w:val="auto"/>
        </w:rPr>
        <w:t>根据项目编号为</w:t>
      </w:r>
      <w:r>
        <w:rPr>
          <w:rFonts w:ascii="宋体" w:hAnsi="宋体" w:cs="Calibri"/>
          <w:color w:val="auto"/>
          <w:u w:val="single"/>
        </w:rPr>
        <w:t>            </w:t>
      </w:r>
      <w:r>
        <w:rPr>
          <w:rFonts w:hint="eastAsia" w:ascii="宋体" w:hAnsi="宋体" w:cs="宋体"/>
          <w:color w:val="auto"/>
        </w:rPr>
        <w:t>的</w:t>
      </w:r>
      <w:r>
        <w:rPr>
          <w:rFonts w:hint="eastAsia" w:ascii="宋体" w:hAnsi="宋体" w:cs="宋体"/>
          <w:color w:val="auto"/>
          <w:u w:val="single"/>
        </w:rPr>
        <w:t>（填写“项目名称”）</w:t>
      </w:r>
      <w:r>
        <w:rPr>
          <w:rFonts w:hint="eastAsia" w:ascii="宋体" w:hAnsi="宋体" w:cs="宋体"/>
          <w:color w:val="auto"/>
        </w:rPr>
        <w:t>项目（以下简称：“本项目”）的采购结果，乙方为成交供应商。现经甲乙双方友好协商，就以下事项达成一致并签订本合同：</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1、下列合同文件是构成本合同不可分割的部分：</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1.1合同条款；</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1.2采购文件、乙方的投标文件（响应文件）；</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1.3其他文件或材料：□无。□（若有联合协议或分包意向协议）。</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2、合同标的</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3、合同总金额</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3.1合同总金额为人民币大写：</w:t>
      </w:r>
      <w:r>
        <w:rPr>
          <w:rFonts w:ascii="宋体" w:hAnsi="宋体" w:cs="Calibri"/>
          <w:color w:val="auto"/>
          <w:u w:val="single"/>
        </w:rPr>
        <w:t>              </w:t>
      </w:r>
      <w:r>
        <w:rPr>
          <w:rFonts w:hint="eastAsia" w:ascii="宋体" w:hAnsi="宋体" w:cs="宋体"/>
          <w:color w:val="auto"/>
        </w:rPr>
        <w:t>元（￥</w:t>
      </w:r>
      <w:r>
        <w:rPr>
          <w:rFonts w:ascii="宋体" w:hAnsi="宋体" w:cs="Calibri"/>
          <w:color w:val="auto"/>
          <w:u w:val="single"/>
        </w:rPr>
        <w:t>              </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4、合同标的交付时间、地点和条件</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4.1交付时间：</w:t>
      </w:r>
      <w:r>
        <w:rPr>
          <w:rFonts w:ascii="宋体" w:hAnsi="宋体" w:cs="Calibri"/>
          <w:color w:val="auto"/>
          <w:u w:val="single"/>
        </w:rPr>
        <w:t>                     </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4.2交付地点：</w:t>
      </w:r>
      <w:r>
        <w:rPr>
          <w:rFonts w:ascii="宋体" w:hAnsi="宋体" w:cs="Calibri"/>
          <w:color w:val="auto"/>
          <w:u w:val="single"/>
        </w:rPr>
        <w:t>                     </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4.3交付条件：</w:t>
      </w:r>
      <w:r>
        <w:rPr>
          <w:rFonts w:ascii="宋体" w:hAnsi="宋体" w:cs="Calibri"/>
          <w:color w:val="auto"/>
          <w:u w:val="single"/>
        </w:rPr>
        <w:t>                     </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5、合同标的应符合采购文件、乙方投标文件（响应文件）的规定或约定，具体如下：</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6、验收</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6.1验收应按照采购文件、乙方投标文件（响应文件）的规定或约定进行，具体如下：</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6.2本项目是否邀请其他投标人（供应商）参与验收：</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□不邀请。□邀请，具体如下：</w:t>
      </w:r>
      <w:r>
        <w:rPr>
          <w:rFonts w:hint="eastAsia" w:ascii="宋体" w:hAnsi="宋体" w:cs="宋体"/>
          <w:color w:val="auto"/>
          <w:u w:val="single"/>
        </w:rPr>
        <w:t>（按照采购文件规定填写）</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7、合同款项的支付应按照采购文件的规定进行，具体如下：</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8、履约保证金</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□无。□有，具体如下：</w:t>
      </w:r>
      <w:r>
        <w:rPr>
          <w:rFonts w:hint="eastAsia" w:ascii="宋体" w:hAnsi="宋体" w:cs="宋体"/>
          <w:color w:val="auto"/>
          <w:u w:val="single"/>
        </w:rPr>
        <w:t>（按照采购文件规定填写）</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9、合同有效期</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10、违约责任</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11、知识产权</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11.2若乙方提供的采购标的不符合国家知识产权法律、法规的规定或被有关主管机关认定为假冒伪劣品，则乙方中标（成交）资格将被取消；甲方还将按照有关法律、法规和规章的规定进行处理，具体如下：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12、解决争议的方法</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12.1甲、乙双方协商解决。</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12.2若协商解决不成，则通过下列途径之一解决：</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13、不可抗力</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rFonts w:ascii="宋体" w:hAnsi="宋体" w:cs="Calibri"/>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14、合同条款</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u w:val="single"/>
        </w:rPr>
        <w:t>（按照实际情况编制填写。采购文件第五章已有规定的，双方均不得变更或调整；采购文件第五章未作规定的，双方可通过友好协商进行约定）</w:t>
      </w:r>
      <w:r>
        <w:rPr>
          <w:rFonts w:hint="eastAsia" w:ascii="宋体" w:hAnsi="宋体" w:cs="宋体"/>
          <w:color w:val="auto"/>
        </w:rPr>
        <w:t>。</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15、其他约定</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15.1合同文件与本合同具有同等法律效力。</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15.2本合同未尽事宜，双方可另行补充。</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15.3合同生效：自签订之日起生效。</w:t>
      </w:r>
    </w:p>
    <w:p>
      <w:pPr>
        <w:pStyle w:val="27"/>
        <w:widowControl/>
        <w:wordWrap w:val="0"/>
        <w:spacing w:before="75" w:after="75" w:line="360" w:lineRule="auto"/>
        <w:ind w:firstLine="480"/>
        <w:rPr>
          <w:rFonts w:ascii="宋体" w:hAnsi="宋体" w:cs="微软雅黑"/>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份，具有同等效力。</w:t>
      </w:r>
    </w:p>
    <w:p>
      <w:pPr>
        <w:pStyle w:val="27"/>
        <w:widowControl/>
        <w:wordWrap w:val="0"/>
        <w:spacing w:before="75" w:after="75" w:line="360" w:lineRule="auto"/>
        <w:ind w:firstLine="480"/>
        <w:rPr>
          <w:rFonts w:ascii="宋体" w:hAnsi="宋体" w:cs="宋体"/>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27"/>
        <w:widowControl/>
        <w:wordWrap w:val="0"/>
        <w:spacing w:before="75" w:after="75" w:line="360" w:lineRule="auto"/>
        <w:ind w:firstLine="480"/>
        <w:rPr>
          <w:rFonts w:ascii="宋体" w:hAnsi="宋体" w:cs="宋体"/>
          <w:color w:val="auto"/>
        </w:rPr>
      </w:pPr>
      <w:r>
        <w:rPr>
          <w:rFonts w:hint="eastAsia" w:ascii="宋体" w:hAnsi="宋体" w:cs="宋体"/>
          <w:color w:val="auto"/>
        </w:rPr>
        <w:t>1</w:t>
      </w:r>
      <w:r>
        <w:rPr>
          <w:rFonts w:ascii="宋体" w:hAnsi="宋体" w:cs="宋体"/>
          <w:color w:val="auto"/>
        </w:rPr>
        <w:t>6</w:t>
      </w:r>
      <w:r>
        <w:rPr>
          <w:rFonts w:hint="eastAsia" w:ascii="宋体" w:hAnsi="宋体" w:cs="宋体"/>
          <w:color w:val="auto"/>
        </w:rPr>
        <w:t>、廉洁条款</w:t>
      </w:r>
    </w:p>
    <w:p>
      <w:pPr>
        <w:pStyle w:val="27"/>
        <w:widowControl/>
        <w:wordWrap w:val="0"/>
        <w:spacing w:before="75" w:after="75" w:line="360" w:lineRule="auto"/>
        <w:ind w:firstLine="480"/>
        <w:rPr>
          <w:rFonts w:ascii="宋体" w:hAnsi="宋体" w:cs="宋体"/>
          <w:color w:val="auto"/>
        </w:rPr>
      </w:pPr>
      <w:r>
        <w:rPr>
          <w:rFonts w:hint="eastAsia" w:ascii="宋体" w:hAnsi="宋体" w:cs="宋体"/>
          <w:color w:val="auto"/>
        </w:rPr>
        <w:t>1</w:t>
      </w:r>
      <w:r>
        <w:rPr>
          <w:rFonts w:ascii="宋体" w:hAnsi="宋体" w:cs="宋体"/>
          <w:color w:val="auto"/>
        </w:rPr>
        <w:t>6.1</w:t>
      </w:r>
      <w:r>
        <w:rPr>
          <w:rFonts w:hint="eastAsia" w:ascii="宋体" w:hAnsi="宋体" w:cs="宋体"/>
          <w:color w:val="auto"/>
        </w:rPr>
        <w:t>乙方义务：</w:t>
      </w:r>
    </w:p>
    <w:p>
      <w:pPr>
        <w:pStyle w:val="27"/>
        <w:widowControl/>
        <w:wordWrap w:val="0"/>
        <w:spacing w:before="75" w:after="75" w:line="360" w:lineRule="auto"/>
        <w:ind w:firstLine="480" w:firstLineChars="200"/>
        <w:rPr>
          <w:rFonts w:ascii="宋体" w:hAnsi="宋体" w:cs="宋体"/>
          <w:color w:val="auto"/>
        </w:rPr>
      </w:pPr>
      <w:r>
        <w:rPr>
          <w:rFonts w:hint="eastAsia" w:ascii="宋体" w:hAnsi="宋体" w:cs="宋体"/>
          <w:color w:val="auto"/>
        </w:rPr>
        <w:t>（一）乙方承诺严格按照《廉洁告知书》相关内容履行，不向甲方及相关人员直接或间接进行商业贿赂。</w:t>
      </w:r>
    </w:p>
    <w:p>
      <w:pPr>
        <w:pStyle w:val="27"/>
        <w:widowControl/>
        <w:wordWrap w:val="0"/>
        <w:spacing w:before="75" w:after="75" w:line="360" w:lineRule="auto"/>
        <w:ind w:firstLine="480" w:firstLineChars="200"/>
        <w:rPr>
          <w:rFonts w:ascii="宋体" w:hAnsi="宋体" w:cs="宋体"/>
          <w:color w:val="auto"/>
        </w:rPr>
      </w:pPr>
      <w:r>
        <w:rPr>
          <w:rFonts w:hint="eastAsia" w:ascii="宋体" w:hAnsi="宋体" w:cs="宋体"/>
          <w:color w:val="auto"/>
        </w:rPr>
        <w:t>（二）乙方发现甲方工作人员有任何索贿行动的，应向有关行业主管部门或纪检监察部门反映情况。</w:t>
      </w:r>
    </w:p>
    <w:p>
      <w:pPr>
        <w:pStyle w:val="27"/>
        <w:widowControl/>
        <w:wordWrap w:val="0"/>
        <w:spacing w:before="75" w:after="75" w:line="360" w:lineRule="auto"/>
        <w:ind w:firstLine="480" w:firstLineChars="200"/>
        <w:rPr>
          <w:rFonts w:ascii="宋体" w:hAnsi="宋体" w:cs="宋体"/>
          <w:color w:val="auto"/>
        </w:rPr>
      </w:pPr>
      <w:r>
        <w:rPr>
          <w:rFonts w:hint="eastAsia" w:ascii="宋体" w:hAnsi="宋体" w:cs="宋体"/>
          <w:color w:val="auto"/>
        </w:rPr>
        <w:t>（三）乙方违反《廉洁告知书》相关内容的，严格按《廉洁告知书》规定承担相关责任。</w:t>
      </w:r>
    </w:p>
    <w:p>
      <w:pPr>
        <w:pStyle w:val="27"/>
        <w:widowControl/>
        <w:wordWrap w:val="0"/>
        <w:spacing w:before="75" w:after="75" w:line="360" w:lineRule="auto"/>
        <w:ind w:firstLine="480" w:firstLineChars="200"/>
        <w:rPr>
          <w:rFonts w:ascii="宋体" w:hAnsi="宋体" w:cs="宋体"/>
          <w:color w:val="auto"/>
        </w:rPr>
      </w:pPr>
      <w:r>
        <w:rPr>
          <w:rFonts w:hint="eastAsia" w:ascii="宋体" w:hAnsi="宋体" w:cs="宋体"/>
          <w:color w:val="auto"/>
        </w:rPr>
        <w:t>（四）如乙方被列入商业贿赂不良记录，则严格按照《国家卫生计生委关于建立医药购销领域商业贿赂不良记录的规定》（国卫法制发〔2013〕50号）相关规定处理。</w:t>
      </w:r>
    </w:p>
    <w:p>
      <w:pPr>
        <w:pStyle w:val="27"/>
        <w:widowControl/>
        <w:wordWrap w:val="0"/>
        <w:spacing w:before="75" w:after="75" w:line="360" w:lineRule="auto"/>
        <w:ind w:firstLine="480"/>
        <w:rPr>
          <w:rFonts w:ascii="宋体" w:hAnsi="宋体" w:cs="宋体"/>
          <w:color w:val="auto"/>
        </w:rPr>
      </w:pPr>
    </w:p>
    <w:p>
      <w:pPr>
        <w:pStyle w:val="27"/>
        <w:widowControl/>
        <w:wordWrap w:val="0"/>
        <w:spacing w:before="75" w:after="75" w:line="360" w:lineRule="auto"/>
        <w:ind w:firstLine="480"/>
        <w:rPr>
          <w:rFonts w:ascii="宋体" w:hAnsi="宋体" w:cs="宋体"/>
          <w:color w:val="auto"/>
        </w:rPr>
      </w:pPr>
      <w:r>
        <w:rPr>
          <w:rFonts w:hint="eastAsia" w:ascii="宋体" w:hAnsi="宋体" w:cs="宋体"/>
          <w:color w:val="auto"/>
        </w:rPr>
        <w:t xml:space="preserve"> （注：在合同条款中须明确约定：“《廉洁告知书》作为本合同的组成部分，与本合同具有同等法律效力”。）</w:t>
      </w:r>
    </w:p>
    <w:p>
      <w:pPr>
        <w:pStyle w:val="27"/>
        <w:widowControl/>
        <w:wordWrap w:val="0"/>
        <w:spacing w:before="75" w:after="75" w:line="360" w:lineRule="auto"/>
        <w:jc w:val="center"/>
        <w:rPr>
          <w:rFonts w:ascii="宋体" w:hAnsi="宋体" w:cs="微软雅黑"/>
          <w:color w:val="auto"/>
        </w:rPr>
      </w:pPr>
      <w:r>
        <w:rPr>
          <w:rFonts w:hint="eastAsia" w:ascii="宋体" w:hAnsi="宋体" w:cs="宋体"/>
          <w:color w:val="auto"/>
        </w:rPr>
        <w:t>（以下无正文）</w:t>
      </w:r>
    </w:p>
    <w:p>
      <w:pPr>
        <w:pStyle w:val="27"/>
        <w:widowControl/>
        <w:wordWrap w:val="0"/>
        <w:spacing w:before="75" w:after="75" w:line="360" w:lineRule="auto"/>
        <w:rPr>
          <w:rFonts w:ascii="宋体" w:hAnsi="宋体" w:cs="微软雅黑"/>
          <w:color w:val="auto"/>
        </w:rPr>
      </w:pPr>
      <w:r>
        <w:rPr>
          <w:rFonts w:ascii="宋体" w:hAnsi="宋体" w:cs="Calibri"/>
          <w:color w:val="auto"/>
        </w:rPr>
        <w:t> </w:t>
      </w:r>
    </w:p>
    <w:p>
      <w:pPr>
        <w:pStyle w:val="27"/>
        <w:widowControl/>
        <w:wordWrap w:val="0"/>
        <w:spacing w:before="75" w:after="75" w:line="360" w:lineRule="auto"/>
        <w:rPr>
          <w:rFonts w:ascii="宋体" w:hAnsi="宋体" w:cs="微软雅黑"/>
          <w:color w:val="auto"/>
        </w:rPr>
      </w:pPr>
      <w:r>
        <w:rPr>
          <w:rFonts w:ascii="宋体" w:hAnsi="宋体" w:cs="Calibri"/>
          <w:color w:val="auto"/>
        </w:rPr>
        <w:t> </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甲方：</w:t>
      </w:r>
      <w:r>
        <w:rPr>
          <w:rFonts w:ascii="宋体" w:hAnsi="宋体" w:cs="Calibri"/>
          <w:color w:val="auto"/>
        </w:rPr>
        <w:t>                </w:t>
      </w:r>
      <w:r>
        <w:rPr>
          <w:rFonts w:hint="eastAsia" w:ascii="宋体" w:hAnsi="宋体" w:cs="宋体"/>
          <w:color w:val="auto"/>
        </w:rPr>
        <w:t>乙方：</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住所：</w:t>
      </w:r>
      <w:r>
        <w:rPr>
          <w:rFonts w:ascii="宋体" w:hAnsi="宋体" w:cs="Calibri"/>
          <w:color w:val="auto"/>
        </w:rPr>
        <w:t>               </w:t>
      </w:r>
      <w:r>
        <w:rPr>
          <w:rFonts w:hint="eastAsia" w:ascii="宋体" w:hAnsi="宋体" w:cs="宋体"/>
          <w:color w:val="auto"/>
        </w:rPr>
        <w:t xml:space="preserve">  住所：</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单位负责人：</w:t>
      </w:r>
      <w:r>
        <w:rPr>
          <w:rFonts w:ascii="宋体" w:hAnsi="宋体" w:cs="Calibri"/>
          <w:color w:val="auto"/>
        </w:rPr>
        <w:t>            </w:t>
      </w:r>
      <w:r>
        <w:rPr>
          <w:rFonts w:hint="eastAsia" w:ascii="宋体" w:hAnsi="宋体" w:cs="宋体"/>
          <w:color w:val="auto"/>
        </w:rPr>
        <w:t xml:space="preserve">  单位负责人：</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委托代理人：</w:t>
      </w:r>
      <w:r>
        <w:rPr>
          <w:rFonts w:ascii="宋体" w:hAnsi="宋体" w:cs="Calibri"/>
          <w:color w:val="auto"/>
        </w:rPr>
        <w:t>            </w:t>
      </w:r>
      <w:r>
        <w:rPr>
          <w:rFonts w:hint="eastAsia" w:ascii="宋体" w:hAnsi="宋体" w:cs="宋体"/>
          <w:color w:val="auto"/>
        </w:rPr>
        <w:t xml:space="preserve">  委托代理人：</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联系方法：</w:t>
      </w:r>
      <w:r>
        <w:rPr>
          <w:rFonts w:ascii="宋体" w:hAnsi="宋体" w:cs="Calibri"/>
          <w:color w:val="auto"/>
        </w:rPr>
        <w:t>            </w:t>
      </w:r>
      <w:r>
        <w:rPr>
          <w:rFonts w:hint="eastAsia" w:ascii="宋体" w:hAnsi="宋体" w:cs="宋体"/>
          <w:color w:val="auto"/>
        </w:rPr>
        <w:t xml:space="preserve">    联系方法：</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开户银行：</w:t>
      </w:r>
      <w:r>
        <w:rPr>
          <w:rFonts w:ascii="宋体" w:hAnsi="宋体" w:cs="Calibri"/>
          <w:color w:val="auto"/>
        </w:rPr>
        <w:t>              </w:t>
      </w:r>
      <w:r>
        <w:rPr>
          <w:rFonts w:hint="eastAsia" w:ascii="宋体" w:hAnsi="宋体" w:cs="宋体"/>
          <w:color w:val="auto"/>
        </w:rPr>
        <w:t>开户银行：</w:t>
      </w:r>
    </w:p>
    <w:p>
      <w:pPr>
        <w:pStyle w:val="27"/>
        <w:widowControl/>
        <w:wordWrap w:val="0"/>
        <w:spacing w:before="75" w:after="75" w:line="360" w:lineRule="auto"/>
        <w:rPr>
          <w:rFonts w:ascii="宋体" w:hAnsi="宋体" w:cs="微软雅黑"/>
          <w:color w:val="auto"/>
        </w:rPr>
      </w:pPr>
      <w:r>
        <w:rPr>
          <w:rFonts w:hint="eastAsia" w:ascii="宋体" w:hAnsi="宋体" w:cs="宋体"/>
          <w:color w:val="auto"/>
        </w:rPr>
        <w:t>账号：</w:t>
      </w:r>
      <w:r>
        <w:rPr>
          <w:rFonts w:ascii="宋体" w:hAnsi="宋体" w:cs="Calibri"/>
          <w:color w:val="auto"/>
        </w:rPr>
        <w:t>                </w:t>
      </w:r>
      <w:r>
        <w:rPr>
          <w:rFonts w:hint="eastAsia" w:ascii="宋体" w:hAnsi="宋体" w:cs="宋体"/>
          <w:color w:val="auto"/>
        </w:rPr>
        <w:t>账号：</w:t>
      </w:r>
    </w:p>
    <w:p>
      <w:pPr>
        <w:pStyle w:val="27"/>
        <w:widowControl/>
        <w:wordWrap w:val="0"/>
        <w:spacing w:before="75" w:after="75" w:line="360" w:lineRule="auto"/>
        <w:rPr>
          <w:rFonts w:ascii="宋体" w:hAnsi="宋体" w:cs="微软雅黑"/>
          <w:color w:val="auto"/>
        </w:rPr>
      </w:pPr>
      <w:r>
        <w:rPr>
          <w:rFonts w:ascii="宋体" w:hAnsi="宋体" w:cs="Calibri"/>
          <w:color w:val="auto"/>
        </w:rPr>
        <w:t> </w:t>
      </w:r>
    </w:p>
    <w:p>
      <w:pPr>
        <w:pStyle w:val="27"/>
        <w:widowControl/>
        <w:wordWrap w:val="0"/>
        <w:spacing w:before="75" w:after="75" w:line="360" w:lineRule="auto"/>
        <w:rPr>
          <w:rFonts w:ascii="宋体" w:hAnsi="宋体" w:cs="微软雅黑"/>
          <w:color w:val="auto"/>
        </w:rPr>
      </w:pPr>
      <w:r>
        <w:rPr>
          <w:rFonts w:ascii="宋体" w:hAnsi="宋体" w:cs="Calibri"/>
          <w:color w:val="auto"/>
        </w:rPr>
        <w:t> </w:t>
      </w:r>
    </w:p>
    <w:p>
      <w:pPr>
        <w:pStyle w:val="27"/>
        <w:widowControl/>
        <w:wordWrap w:val="0"/>
        <w:spacing w:before="75" w:after="75" w:line="360" w:lineRule="auto"/>
        <w:rPr>
          <w:rFonts w:ascii="宋体" w:hAnsi="宋体" w:cs="宋体"/>
          <w:color w:val="auto"/>
          <w:u w:val="single"/>
        </w:rPr>
      </w:pPr>
      <w:r>
        <w:rPr>
          <w:rFonts w:hint="eastAsia" w:ascii="宋体" w:hAnsi="宋体" w:cs="宋体"/>
          <w:color w:val="auto"/>
        </w:rPr>
        <w:t>签订地点：</w:t>
      </w:r>
      <w:r>
        <w:rPr>
          <w:rFonts w:ascii="宋体" w:hAnsi="宋体" w:cs="Calibri"/>
          <w:color w:val="auto"/>
          <w:u w:val="single"/>
        </w:rPr>
        <w:t>                </w:t>
      </w:r>
    </w:p>
    <w:p>
      <w:pPr>
        <w:wordWrap w:val="0"/>
        <w:spacing w:line="360" w:lineRule="auto"/>
        <w:rPr>
          <w:rFonts w:ascii="宋体" w:hAnsi="宋体"/>
          <w:color w:val="auto"/>
          <w:sz w:val="24"/>
          <w:szCs w:val="24"/>
        </w:rPr>
      </w:pPr>
      <w:r>
        <w:rPr>
          <w:rFonts w:hint="eastAsia" w:ascii="宋体" w:hAnsi="宋体" w:cs="宋体"/>
          <w:color w:val="auto"/>
          <w:sz w:val="24"/>
          <w:szCs w:val="24"/>
        </w:rPr>
        <w:t>签订日期：</w:t>
      </w:r>
      <w:r>
        <w:rPr>
          <w:rFonts w:ascii="宋体" w:hAnsi="宋体" w:cs="Calibri"/>
          <w:color w:val="auto"/>
          <w:sz w:val="24"/>
          <w:szCs w:val="24"/>
        </w:rPr>
        <w:t>    </w:t>
      </w:r>
      <w:r>
        <w:rPr>
          <w:rFonts w:hint="eastAsia" w:ascii="宋体" w:hAnsi="宋体" w:cs="宋体"/>
          <w:color w:val="auto"/>
          <w:sz w:val="24"/>
          <w:szCs w:val="24"/>
        </w:rPr>
        <w:t>年</w:t>
      </w:r>
      <w:r>
        <w:rPr>
          <w:rFonts w:ascii="宋体" w:hAnsi="宋体" w:cs="Calibri"/>
          <w:color w:val="auto"/>
          <w:sz w:val="24"/>
          <w:szCs w:val="24"/>
        </w:rPr>
        <w:t>   </w:t>
      </w:r>
      <w:r>
        <w:rPr>
          <w:rFonts w:hint="eastAsia" w:ascii="宋体" w:hAnsi="宋体" w:cs="宋体"/>
          <w:color w:val="auto"/>
          <w:sz w:val="24"/>
          <w:szCs w:val="24"/>
        </w:rPr>
        <w:t>月</w:t>
      </w:r>
      <w:r>
        <w:rPr>
          <w:rFonts w:ascii="宋体" w:hAnsi="宋体" w:cs="Calibri"/>
          <w:color w:val="auto"/>
          <w:sz w:val="24"/>
          <w:szCs w:val="24"/>
        </w:rPr>
        <w:t>   </w:t>
      </w:r>
      <w:r>
        <w:rPr>
          <w:rFonts w:hint="eastAsia" w:ascii="宋体" w:hAnsi="宋体" w:cs="宋体"/>
          <w:color w:val="auto"/>
          <w:sz w:val="24"/>
          <w:szCs w:val="24"/>
        </w:rPr>
        <w:t>日</w:t>
      </w:r>
    </w:p>
    <w:p>
      <w:pPr>
        <w:keepNext/>
        <w:keepLines/>
        <w:pageBreakBefore/>
        <w:widowControl/>
        <w:wordWrap w:val="0"/>
        <w:spacing w:line="360" w:lineRule="auto"/>
        <w:jc w:val="center"/>
        <w:outlineLvl w:val="0"/>
        <w:rPr>
          <w:rFonts w:ascii="宋体" w:hAnsi="宋体"/>
          <w:b/>
          <w:bCs/>
          <w:color w:val="auto"/>
          <w:sz w:val="36"/>
          <w:szCs w:val="36"/>
        </w:rPr>
      </w:pPr>
      <w:bookmarkStart w:id="306" w:name="_Toc115273185"/>
      <w:bookmarkStart w:id="307" w:name="_Toc12568"/>
      <w:bookmarkStart w:id="308" w:name="_Toc17717"/>
      <w:bookmarkStart w:id="309" w:name="_Toc17227448"/>
      <w:r>
        <w:rPr>
          <w:rFonts w:hint="eastAsia" w:ascii="宋体" w:hAnsi="宋体"/>
          <w:b/>
          <w:bCs/>
          <w:color w:val="auto"/>
          <w:sz w:val="36"/>
          <w:szCs w:val="36"/>
        </w:rPr>
        <w:t>第五章  报价文件格式</w:t>
      </w:r>
      <w:bookmarkEnd w:id="306"/>
      <w:bookmarkEnd w:id="307"/>
      <w:bookmarkEnd w:id="308"/>
      <w:bookmarkEnd w:id="30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180" w:type="dxa"/>
            <w:tcBorders>
              <w:top w:val="single" w:color="auto" w:sz="4" w:space="0"/>
              <w:left w:val="single" w:color="auto" w:sz="4" w:space="0"/>
              <w:bottom w:val="single" w:color="auto" w:sz="4" w:space="0"/>
              <w:right w:val="single" w:color="auto" w:sz="4" w:space="0"/>
            </w:tcBorders>
          </w:tcPr>
          <w:p>
            <w:pPr>
              <w:wordWrap w:val="0"/>
              <w:spacing w:before="120" w:line="360" w:lineRule="auto"/>
              <w:rPr>
                <w:rFonts w:ascii="宋体" w:hAnsi="宋体" w:cs="宋体"/>
                <w:color w:val="auto"/>
                <w:szCs w:val="21"/>
              </w:rPr>
            </w:pPr>
            <w:r>
              <w:rPr>
                <w:rFonts w:hint="eastAsia" w:ascii="宋体" w:hAnsi="宋体" w:cs="宋体"/>
                <w:color w:val="auto"/>
                <w:szCs w:val="21"/>
              </w:rPr>
              <w:t>注释：《磋商响应文件格式》是磋商响应供应商的部分磋商响应文件格式和签订合同时所需文件的格式。磋商响应供应商应参照这些格式文件制作磋商响应文件，未提供格式的，磋商响应供应商可自拟。</w:t>
            </w:r>
          </w:p>
        </w:tc>
      </w:tr>
    </w:tbl>
    <w:p>
      <w:pPr>
        <w:wordWrap w:val="0"/>
        <w:spacing w:line="360" w:lineRule="auto"/>
        <w:rPr>
          <w:rFonts w:ascii="宋体" w:hAnsi="宋体" w:cs="宋体"/>
          <w:b/>
          <w:color w:val="auto"/>
          <w:sz w:val="72"/>
        </w:rPr>
      </w:pPr>
    </w:p>
    <w:p>
      <w:pPr>
        <w:pStyle w:val="82"/>
        <w:wordWrap w:val="0"/>
        <w:ind w:firstLine="0" w:firstLineChars="0"/>
        <w:jc w:val="center"/>
        <w:rPr>
          <w:rFonts w:ascii="宋体" w:hAnsi="宋体" w:eastAsia="宋体" w:cs="宋体"/>
          <w:b/>
          <w:color w:val="auto"/>
          <w:sz w:val="72"/>
          <w:szCs w:val="72"/>
        </w:rPr>
      </w:pPr>
      <w:r>
        <w:rPr>
          <w:rFonts w:hint="eastAsia" w:ascii="宋体" w:hAnsi="宋体" w:eastAsia="宋体" w:cs="宋体"/>
          <w:b/>
          <w:color w:val="auto"/>
          <w:sz w:val="72"/>
          <w:szCs w:val="72"/>
        </w:rPr>
        <w:t>采 购 项 目</w:t>
      </w:r>
    </w:p>
    <w:p>
      <w:pPr>
        <w:wordWrap w:val="0"/>
        <w:spacing w:line="360" w:lineRule="auto"/>
        <w:jc w:val="center"/>
        <w:rPr>
          <w:rFonts w:ascii="宋体" w:hAnsi="宋体" w:cs="宋体"/>
          <w:b/>
          <w:color w:val="auto"/>
          <w:sz w:val="72"/>
          <w:szCs w:val="72"/>
        </w:rPr>
      </w:pPr>
      <w:r>
        <w:rPr>
          <w:rFonts w:hint="eastAsia" w:ascii="宋体" w:hAnsi="宋体" w:cs="宋体"/>
          <w:b/>
          <w:color w:val="auto"/>
          <w:sz w:val="72"/>
          <w:szCs w:val="72"/>
        </w:rPr>
        <w:t>磋商响应文件</w:t>
      </w:r>
    </w:p>
    <w:p>
      <w:pPr>
        <w:wordWrap w:val="0"/>
        <w:spacing w:line="360" w:lineRule="auto"/>
        <w:ind w:firstLine="1626" w:firstLineChars="450"/>
        <w:rPr>
          <w:rFonts w:ascii="宋体" w:hAnsi="宋体" w:cs="宋体"/>
          <w:b/>
          <w:color w:val="auto"/>
          <w:sz w:val="36"/>
        </w:rPr>
      </w:pPr>
    </w:p>
    <w:p>
      <w:pPr>
        <w:wordWrap w:val="0"/>
        <w:spacing w:line="360" w:lineRule="auto"/>
        <w:ind w:firstLine="1626" w:firstLineChars="450"/>
        <w:rPr>
          <w:rFonts w:ascii="宋体" w:hAnsi="宋体" w:cs="宋体"/>
          <w:b/>
          <w:color w:val="auto"/>
          <w:sz w:val="36"/>
        </w:rPr>
      </w:pPr>
    </w:p>
    <w:p>
      <w:pPr>
        <w:wordWrap w:val="0"/>
        <w:spacing w:line="360" w:lineRule="auto"/>
        <w:ind w:firstLine="722" w:firstLineChars="200"/>
        <w:rPr>
          <w:rFonts w:ascii="宋体" w:hAnsi="宋体" w:cs="宋体"/>
          <w:b/>
          <w:color w:val="auto"/>
          <w:sz w:val="36"/>
        </w:rPr>
      </w:pPr>
      <w:r>
        <w:rPr>
          <w:rFonts w:hint="eastAsia" w:ascii="宋体" w:hAnsi="宋体" w:cs="宋体"/>
          <w:b/>
          <w:color w:val="auto"/>
          <w:sz w:val="36"/>
        </w:rPr>
        <w:t>项 目 名 称：</w:t>
      </w:r>
      <w:r>
        <w:rPr>
          <w:rFonts w:hint="eastAsia" w:ascii="宋体" w:hAnsi="宋体" w:cs="宋体"/>
          <w:b/>
          <w:color w:val="auto"/>
          <w:sz w:val="36"/>
          <w:u w:val="single"/>
        </w:rPr>
        <w:t xml:space="preserve">                            </w:t>
      </w:r>
    </w:p>
    <w:p>
      <w:pPr>
        <w:wordWrap w:val="0"/>
        <w:spacing w:line="360" w:lineRule="auto"/>
        <w:ind w:firstLine="722" w:firstLineChars="200"/>
        <w:rPr>
          <w:rFonts w:ascii="宋体" w:hAnsi="宋体" w:cs="宋体"/>
          <w:b/>
          <w:color w:val="auto"/>
          <w:sz w:val="36"/>
        </w:rPr>
      </w:pPr>
      <w:r>
        <w:rPr>
          <w:rFonts w:hint="eastAsia" w:ascii="宋体" w:hAnsi="宋体" w:cs="宋体"/>
          <w:b/>
          <w:color w:val="auto"/>
          <w:sz w:val="36"/>
        </w:rPr>
        <w:t>项 目 编 号：</w:t>
      </w:r>
      <w:r>
        <w:rPr>
          <w:rFonts w:hint="eastAsia" w:ascii="宋体" w:hAnsi="宋体" w:cs="宋体"/>
          <w:b/>
          <w:color w:val="auto"/>
          <w:sz w:val="36"/>
          <w:u w:val="single"/>
        </w:rPr>
        <w:t xml:space="preserve">                            </w:t>
      </w:r>
    </w:p>
    <w:p>
      <w:pPr>
        <w:wordWrap w:val="0"/>
        <w:spacing w:line="360" w:lineRule="auto"/>
        <w:ind w:firstLine="722" w:firstLineChars="200"/>
        <w:rPr>
          <w:rFonts w:ascii="宋体" w:hAnsi="宋体" w:cs="宋体"/>
          <w:b/>
          <w:color w:val="auto"/>
          <w:sz w:val="36"/>
        </w:rPr>
      </w:pPr>
    </w:p>
    <w:p>
      <w:pPr>
        <w:wordWrap w:val="0"/>
        <w:spacing w:line="360" w:lineRule="auto"/>
        <w:ind w:firstLine="722" w:firstLineChars="200"/>
        <w:rPr>
          <w:rFonts w:ascii="宋体" w:hAnsi="宋体" w:cs="宋体"/>
          <w:b/>
          <w:color w:val="auto"/>
          <w:sz w:val="36"/>
        </w:rPr>
      </w:pPr>
      <w:r>
        <w:rPr>
          <w:rFonts w:hint="eastAsia" w:ascii="宋体" w:hAnsi="宋体" w:cs="宋体"/>
          <w:b/>
          <w:color w:val="auto"/>
          <w:sz w:val="36"/>
        </w:rPr>
        <w:t>供应商名称 ：</w:t>
      </w:r>
      <w:r>
        <w:rPr>
          <w:rFonts w:hint="eastAsia" w:ascii="宋体" w:hAnsi="宋体" w:cs="宋体"/>
          <w:b/>
          <w:color w:val="auto"/>
          <w:sz w:val="36"/>
          <w:u w:val="single"/>
        </w:rPr>
        <w:t xml:space="preserve">                     </w:t>
      </w:r>
      <w:r>
        <w:rPr>
          <w:rFonts w:ascii="宋体" w:hAnsi="宋体" w:cs="宋体"/>
          <w:b/>
          <w:color w:val="auto"/>
          <w:sz w:val="36"/>
          <w:u w:val="single"/>
        </w:rPr>
        <w:t xml:space="preserve">       </w:t>
      </w:r>
    </w:p>
    <w:p>
      <w:pPr>
        <w:wordWrap w:val="0"/>
        <w:spacing w:line="360" w:lineRule="auto"/>
        <w:ind w:firstLine="722" w:firstLineChars="200"/>
        <w:rPr>
          <w:rFonts w:ascii="宋体" w:hAnsi="宋体" w:cs="宋体"/>
          <w:b/>
          <w:color w:val="auto"/>
          <w:sz w:val="36"/>
        </w:rPr>
      </w:pPr>
      <w:r>
        <w:rPr>
          <w:rFonts w:hint="eastAsia" w:ascii="宋体" w:hAnsi="宋体" w:cs="宋体"/>
          <w:b/>
          <w:color w:val="auto"/>
          <w:sz w:val="36"/>
        </w:rPr>
        <w:t>日      期 ：</w:t>
      </w:r>
      <w:r>
        <w:rPr>
          <w:rFonts w:hint="eastAsia" w:ascii="宋体" w:hAnsi="宋体" w:cs="宋体"/>
          <w:b/>
          <w:color w:val="auto"/>
          <w:sz w:val="36"/>
          <w:u w:val="single"/>
        </w:rPr>
        <w:t xml:space="preserve">                            </w:t>
      </w:r>
    </w:p>
    <w:p>
      <w:pPr>
        <w:pStyle w:val="11"/>
        <w:wordWrap w:val="0"/>
        <w:snapToGrid w:val="0"/>
        <w:spacing w:line="360" w:lineRule="auto"/>
        <w:ind w:firstLine="0"/>
        <w:rPr>
          <w:rFonts w:cs="宋体"/>
          <w:b/>
          <w:bCs/>
          <w:color w:val="auto"/>
          <w:sz w:val="32"/>
        </w:rPr>
      </w:pPr>
    </w:p>
    <w:p>
      <w:pPr>
        <w:pStyle w:val="11"/>
        <w:pageBreakBefore/>
        <w:wordWrap w:val="0"/>
        <w:snapToGrid w:val="0"/>
        <w:spacing w:line="360" w:lineRule="auto"/>
        <w:ind w:firstLine="0"/>
        <w:jc w:val="center"/>
        <w:rPr>
          <w:rFonts w:cs="宋体"/>
          <w:b/>
          <w:bCs/>
          <w:color w:val="auto"/>
          <w:sz w:val="32"/>
          <w:szCs w:val="32"/>
        </w:rPr>
      </w:pPr>
      <w:r>
        <w:rPr>
          <w:rFonts w:hint="eastAsia" w:cs="宋体"/>
          <w:b/>
          <w:bCs/>
          <w:color w:val="auto"/>
          <w:sz w:val="32"/>
          <w:szCs w:val="32"/>
        </w:rPr>
        <w:t>目 录</w:t>
      </w:r>
    </w:p>
    <w:p>
      <w:pPr>
        <w:wordWrap w:val="0"/>
        <w:spacing w:line="360" w:lineRule="auto"/>
        <w:ind w:left="480"/>
        <w:rPr>
          <w:rFonts w:ascii="宋体" w:hAnsi="宋体" w:cs="宋体"/>
          <w:color w:val="auto"/>
          <w:sz w:val="24"/>
          <w:szCs w:val="24"/>
        </w:rPr>
      </w:pPr>
      <w:bookmarkStart w:id="310" w:name="_Toc17227449"/>
      <w:bookmarkStart w:id="311" w:name="_Toc92179942"/>
      <w:bookmarkStart w:id="312" w:name="_Toc117525484"/>
      <w:bookmarkStart w:id="313" w:name="_Toc115273186"/>
      <w:bookmarkStart w:id="314" w:name="_Toc100242649"/>
      <w:bookmarkStart w:id="315" w:name="_Toc91768087"/>
      <w:bookmarkStart w:id="316" w:name="_Toc450817973"/>
      <w:bookmarkStart w:id="317" w:name="_Toc118126128"/>
      <w:bookmarkStart w:id="318" w:name="_Toc7706"/>
      <w:bookmarkStart w:id="319" w:name="_Toc11010"/>
      <w:bookmarkStart w:id="320" w:name="_Toc72242086"/>
      <w:bookmarkStart w:id="321" w:name="_Toc99382021"/>
      <w:bookmarkStart w:id="322" w:name="_Toc22320"/>
      <w:bookmarkStart w:id="323" w:name="_Toc31469"/>
      <w:r>
        <w:rPr>
          <w:rFonts w:hint="eastAsia" w:ascii="宋体" w:hAnsi="宋体" w:cs="宋体"/>
          <w:color w:val="auto"/>
          <w:sz w:val="24"/>
          <w:szCs w:val="24"/>
          <w:lang w:bidi="ar"/>
        </w:rPr>
        <w:t>（1）磋商响应书</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（2）报价一览表</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（3）报价分项一览表</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（4）磋商响应供应商的资格证明文件</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（5）技术规格和商务偏离表</w:t>
      </w:r>
    </w:p>
    <w:p>
      <w:pPr>
        <w:wordWrap w:val="0"/>
        <w:spacing w:line="360" w:lineRule="auto"/>
        <w:ind w:left="480"/>
        <w:rPr>
          <w:rFonts w:ascii="宋体" w:hAnsi="宋体"/>
          <w:color w:val="auto"/>
          <w:lang w:bidi="ar"/>
        </w:rPr>
      </w:pPr>
      <w:r>
        <w:rPr>
          <w:rFonts w:hint="eastAsia" w:ascii="宋体" w:hAnsi="宋体" w:cs="宋体"/>
          <w:color w:val="auto"/>
          <w:sz w:val="24"/>
          <w:szCs w:val="24"/>
          <w:lang w:bidi="ar"/>
        </w:rPr>
        <w:t>（6）项目方案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（7）项目组配置方案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（8）磋商响应供应商提交的其他资料</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（9）技术商务评分响应索引表</w:t>
      </w:r>
    </w:p>
    <w:p>
      <w:pPr>
        <w:pStyle w:val="84"/>
        <w:keepLines/>
        <w:pageBreakBefore/>
        <w:wordWrap w:val="0"/>
        <w:spacing w:line="360" w:lineRule="auto"/>
        <w:jc w:val="center"/>
        <w:outlineLvl w:val="1"/>
        <w:rPr>
          <w:rFonts w:hAnsi="宋体" w:cs="宋体"/>
          <w:color w:val="auto"/>
          <w:sz w:val="32"/>
          <w:szCs w:val="32"/>
        </w:rPr>
      </w:pPr>
      <w:bookmarkStart w:id="324" w:name="_Toc132034564"/>
      <w:bookmarkStart w:id="325" w:name="_Toc18305"/>
      <w:bookmarkStart w:id="326" w:name="_Toc120705559"/>
      <w:bookmarkStart w:id="327" w:name="_Toc131530304"/>
      <w:bookmarkStart w:id="328" w:name="_Toc131438714"/>
      <w:bookmarkStart w:id="329" w:name="_Toc120699948"/>
      <w:r>
        <w:rPr>
          <w:rFonts w:hAnsi="宋体" w:cs="宋体"/>
          <w:b/>
          <w:color w:val="auto"/>
          <w:sz w:val="32"/>
          <w:szCs w:val="32"/>
        </w:rPr>
        <w:t>磋商响应书</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wordWrap w:val="0"/>
        <w:spacing w:line="360" w:lineRule="auto"/>
        <w:rPr>
          <w:rFonts w:ascii="宋体" w:hAnsi="宋体" w:cs="宋体"/>
          <w:color w:val="auto"/>
          <w:sz w:val="24"/>
          <w:szCs w:val="24"/>
        </w:rPr>
      </w:pPr>
      <w:bookmarkStart w:id="330" w:name="_Toc314838399"/>
      <w:bookmarkStart w:id="331" w:name="_Toc189829967"/>
      <w:bookmarkStart w:id="332" w:name="_Toc332809178"/>
      <w:bookmarkStart w:id="333" w:name="_Toc185762840"/>
      <w:bookmarkStart w:id="334" w:name="_Toc331778559"/>
      <w:bookmarkStart w:id="335" w:name="_Toc189832484"/>
      <w:bookmarkStart w:id="336" w:name="_Toc338926828"/>
    </w:p>
    <w:p>
      <w:pPr>
        <w:wordWrap w:val="0"/>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建信发展（厦门）采购招标有限公司</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根据贵方为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项目的磋商邀请（项目编号）</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，本签字代表</w:t>
      </w:r>
      <w:r>
        <w:rPr>
          <w:rFonts w:hint="eastAsia" w:ascii="宋体" w:hAnsi="宋体" w:cs="宋体"/>
          <w:color w:val="auto"/>
          <w:sz w:val="24"/>
          <w:szCs w:val="24"/>
          <w:u w:val="single"/>
        </w:rPr>
        <w:t>（全名、职务）</w:t>
      </w:r>
      <w:r>
        <w:rPr>
          <w:rFonts w:hint="eastAsia" w:ascii="宋体" w:hAnsi="宋体" w:cs="宋体"/>
          <w:color w:val="auto"/>
          <w:sz w:val="24"/>
          <w:szCs w:val="24"/>
        </w:rPr>
        <w:t>正式授权并代表磋商响应供应商（磋商响应供应商名称、地址）提交下述文件</w:t>
      </w:r>
      <w:r>
        <w:rPr>
          <w:rFonts w:hint="eastAsia" w:ascii="宋体" w:hAnsi="宋体" w:cs="宋体"/>
          <w:b/>
          <w:bCs/>
          <w:color w:val="auto"/>
          <w:sz w:val="24"/>
          <w:szCs w:val="24"/>
        </w:rPr>
        <w:t>正本一份和副本二份</w:t>
      </w:r>
      <w:r>
        <w:rPr>
          <w:rFonts w:hint="eastAsia" w:ascii="宋体" w:hAnsi="宋体" w:cs="宋体"/>
          <w:color w:val="auto"/>
          <w:sz w:val="24"/>
          <w:szCs w:val="24"/>
        </w:rPr>
        <w:t>。</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（1）磋商响应书</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（2）报价一览表</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（3）报价分项一览表</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（4）磋商响应供应商的资格证明文件</w:t>
      </w:r>
    </w:p>
    <w:p>
      <w:pPr>
        <w:wordWrap w:val="0"/>
        <w:spacing w:line="360" w:lineRule="auto"/>
        <w:ind w:left="480"/>
        <w:rPr>
          <w:rFonts w:ascii="宋体" w:hAnsi="宋体" w:cs="宋体"/>
          <w:color w:val="auto"/>
          <w:sz w:val="24"/>
          <w:szCs w:val="24"/>
        </w:rPr>
      </w:pPr>
      <w:r>
        <w:rPr>
          <w:rFonts w:hint="eastAsia" w:ascii="宋体" w:hAnsi="宋体" w:cs="宋体"/>
          <w:color w:val="auto"/>
          <w:sz w:val="24"/>
          <w:szCs w:val="24"/>
          <w:lang w:bidi="ar"/>
        </w:rPr>
        <w:t>（5）技术规格和商务偏离表</w:t>
      </w:r>
    </w:p>
    <w:p>
      <w:pPr>
        <w:wordWrap w:val="0"/>
        <w:spacing w:line="360" w:lineRule="auto"/>
        <w:ind w:left="480"/>
        <w:rPr>
          <w:rFonts w:ascii="宋体" w:hAnsi="宋体"/>
          <w:color w:val="auto"/>
          <w:lang w:bidi="ar"/>
        </w:rPr>
      </w:pPr>
      <w:r>
        <w:rPr>
          <w:rFonts w:hint="eastAsia" w:ascii="宋体" w:hAnsi="宋体" w:cs="宋体"/>
          <w:color w:val="auto"/>
          <w:sz w:val="24"/>
          <w:szCs w:val="24"/>
          <w:lang w:bidi="ar"/>
        </w:rPr>
        <w:t>（6）项目方案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（7）项目组配置方案</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（8）磋商响应供应商提交的其他资料</w:t>
      </w:r>
    </w:p>
    <w:p>
      <w:pPr>
        <w:wordWrap w:val="0"/>
        <w:spacing w:line="360" w:lineRule="auto"/>
        <w:ind w:left="480"/>
        <w:rPr>
          <w:rFonts w:ascii="宋体" w:hAnsi="宋体" w:cs="宋体"/>
          <w:color w:val="auto"/>
          <w:sz w:val="24"/>
          <w:szCs w:val="24"/>
          <w:lang w:bidi="ar"/>
        </w:rPr>
      </w:pPr>
      <w:r>
        <w:rPr>
          <w:rFonts w:hint="eastAsia" w:ascii="宋体" w:hAnsi="宋体" w:cs="宋体"/>
          <w:color w:val="auto"/>
          <w:sz w:val="24"/>
          <w:szCs w:val="24"/>
          <w:lang w:bidi="ar"/>
        </w:rPr>
        <w:t>（9）技术商务评分响应索引表</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据此函，签字代表宣布同意如下：</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1.所附详细报价表中规定的应提供和交付的货物及服务报价总价（国内现场交货价）为人民币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，即</w:t>
      </w:r>
      <w:r>
        <w:rPr>
          <w:rFonts w:hint="eastAsia" w:ascii="宋体" w:hAnsi="宋体" w:cs="宋体"/>
          <w:color w:val="auto"/>
          <w:sz w:val="24"/>
          <w:szCs w:val="24"/>
          <w:u w:val="single"/>
        </w:rPr>
        <w:t xml:space="preserve">            </w:t>
      </w:r>
      <w:r>
        <w:rPr>
          <w:rFonts w:hint="eastAsia" w:ascii="宋体" w:hAnsi="宋体" w:cs="宋体"/>
          <w:color w:val="auto"/>
          <w:sz w:val="24"/>
          <w:szCs w:val="24"/>
        </w:rPr>
        <w:t>（中文表述）。</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2.磋商响应供应商已详细审查全部磋商文件，包括修改文件（如有的话）和有关附件，将自行承担因对全部磋商文件理解不正确或误解而产生的相应后果。</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3.磋商响应供应商保证遵守磋商文件的全部规定，磋商响应供应商所提交的材料中所含的信息均为真实、准确、完整，且不具有任何误导性。</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4.磋商响应供应商将按磋商响应文件的规定和磋商代表所作的最后澄清及承诺履行合同责任和义务。</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5.本磋商响应文件自磋商响应截止日起磋商响应有效期为：在磋商文件磋商响应供应商须知前附表所规定的期限内保持有效。</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6.如果发生磋商文件第二章磋商响应供应商须知第12条所述情况，则同意采购代理机构不予退还磋商响应保证金。</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 磋商响应供应商同意提供按照采购单位可能要求的与其磋商响应有关的一切数据或资料，完全理解贵方不一定要接受最低的报价或收到的任何磋商响应。</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8.与本磋商有关的一切正式往来通讯请寄：</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邮编：</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电话：</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传真：</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 xml:space="preserve">      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 xml:space="preserve">      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ascii="宋体" w:hAnsi="宋体" w:cs="宋体"/>
          <w:color w:val="auto"/>
          <w:sz w:val="24"/>
          <w:szCs w:val="24"/>
        </w:rPr>
        <w:t xml:space="preserve">      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p>
    <w:bookmarkEnd w:id="330"/>
    <w:bookmarkEnd w:id="331"/>
    <w:bookmarkEnd w:id="332"/>
    <w:bookmarkEnd w:id="333"/>
    <w:bookmarkEnd w:id="334"/>
    <w:bookmarkEnd w:id="335"/>
    <w:bookmarkEnd w:id="336"/>
    <w:p>
      <w:pPr>
        <w:pStyle w:val="84"/>
        <w:keepLines/>
        <w:pageBreakBefore/>
        <w:wordWrap w:val="0"/>
        <w:spacing w:line="360" w:lineRule="auto"/>
        <w:jc w:val="center"/>
        <w:outlineLvl w:val="1"/>
        <w:rPr>
          <w:rFonts w:hAnsi="宋体" w:cs="宋体"/>
          <w:b/>
          <w:color w:val="auto"/>
          <w:sz w:val="32"/>
          <w:szCs w:val="32"/>
        </w:rPr>
      </w:pPr>
      <w:bookmarkStart w:id="337" w:name="_Toc115273187"/>
      <w:bookmarkStart w:id="338" w:name="_Toc120705560"/>
      <w:bookmarkStart w:id="339" w:name="_Toc85119746"/>
      <w:bookmarkStart w:id="340" w:name="_Toc132034565"/>
      <w:bookmarkStart w:id="341" w:name="_Toc118126129"/>
      <w:bookmarkStart w:id="342" w:name="_Toc131530305"/>
      <w:bookmarkStart w:id="343" w:name="_Toc117525485"/>
      <w:bookmarkStart w:id="344" w:name="_Toc120699949"/>
      <w:bookmarkStart w:id="345" w:name="_Toc31864"/>
      <w:bookmarkStart w:id="346" w:name="_Toc131438715"/>
      <w:bookmarkStart w:id="347" w:name="_Toc20226"/>
      <w:bookmarkStart w:id="348" w:name="_Toc12501"/>
      <w:bookmarkStart w:id="349" w:name="_Toc78368555"/>
      <w:bookmarkStart w:id="350" w:name="_Toc12648"/>
      <w:bookmarkStart w:id="351" w:name="_Toc25897"/>
      <w:bookmarkStart w:id="352" w:name="_Toc19434"/>
      <w:bookmarkStart w:id="353" w:name="_Toc20316"/>
      <w:bookmarkStart w:id="354" w:name="_Toc29065"/>
      <w:bookmarkStart w:id="355" w:name="_Toc3743"/>
      <w:bookmarkStart w:id="356" w:name="_Toc31702"/>
      <w:bookmarkStart w:id="357" w:name="_Toc5574"/>
      <w:bookmarkStart w:id="358" w:name="_Toc100242651"/>
      <w:bookmarkStart w:id="359" w:name="_Toc21947"/>
      <w:bookmarkStart w:id="360" w:name="_Toc99382023"/>
      <w:bookmarkStart w:id="361" w:name="_Toc13577"/>
      <w:bookmarkStart w:id="362" w:name="_Toc91768089"/>
      <w:bookmarkStart w:id="363" w:name="_Toc13849"/>
      <w:bookmarkStart w:id="364" w:name="_Toc26145"/>
      <w:bookmarkStart w:id="365" w:name="_Toc92179944"/>
      <w:r>
        <w:rPr>
          <w:rFonts w:hint="eastAsia" w:hAnsi="宋体" w:cs="宋体"/>
          <w:b/>
          <w:color w:val="auto"/>
          <w:sz w:val="32"/>
          <w:szCs w:val="32"/>
        </w:rPr>
        <w:t>报价一览表（首次报价）</w:t>
      </w:r>
      <w:bookmarkEnd w:id="337"/>
      <w:bookmarkEnd w:id="338"/>
      <w:bookmarkEnd w:id="339"/>
      <w:bookmarkEnd w:id="340"/>
      <w:bookmarkEnd w:id="341"/>
      <w:bookmarkEnd w:id="342"/>
      <w:bookmarkEnd w:id="343"/>
      <w:bookmarkEnd w:id="344"/>
      <w:bookmarkEnd w:id="345"/>
      <w:bookmarkEnd w:id="346"/>
    </w:p>
    <w:p>
      <w:pPr>
        <w:wordWrap w:val="0"/>
        <w:spacing w:line="360" w:lineRule="auto"/>
        <w:rPr>
          <w:rFonts w:ascii="宋体" w:hAnsi="宋体"/>
          <w:color w:val="auto"/>
          <w:sz w:val="24"/>
          <w:szCs w:val="24"/>
        </w:rPr>
      </w:pPr>
    </w:p>
    <w:p>
      <w:pPr>
        <w:wordWrap w:val="0"/>
        <w:spacing w:line="360" w:lineRule="auto"/>
        <w:rPr>
          <w:rFonts w:ascii="宋体" w:hAnsi="宋体"/>
          <w:color w:val="auto"/>
          <w:sz w:val="24"/>
          <w:szCs w:val="24"/>
        </w:rPr>
      </w:pPr>
      <w:r>
        <w:rPr>
          <w:rFonts w:hint="eastAsia" w:ascii="宋体" w:hAnsi="宋体"/>
          <w:color w:val="auto"/>
          <w:sz w:val="24"/>
          <w:szCs w:val="24"/>
        </w:rPr>
        <w:t xml:space="preserve">项目编号：                       </w:t>
      </w:r>
      <w:r>
        <w:rPr>
          <w:rFonts w:ascii="宋体" w:hAnsi="宋体"/>
          <w:color w:val="auto"/>
          <w:sz w:val="24"/>
          <w:szCs w:val="24"/>
        </w:rPr>
        <w:t xml:space="preserve">                 </w:t>
      </w:r>
      <w:r>
        <w:rPr>
          <w:rFonts w:hint="eastAsia" w:ascii="宋体" w:hAnsi="宋体"/>
          <w:color w:val="auto"/>
          <w:sz w:val="24"/>
          <w:szCs w:val="24"/>
        </w:rPr>
        <w:t>货币单位：</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269"/>
        <w:gridCol w:w="856"/>
        <w:gridCol w:w="1777"/>
        <w:gridCol w:w="1277"/>
        <w:gridCol w:w="141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0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合同包</w:t>
            </w:r>
          </w:p>
        </w:tc>
        <w:tc>
          <w:tcPr>
            <w:tcW w:w="126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8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数量</w:t>
            </w:r>
          </w:p>
        </w:tc>
        <w:tc>
          <w:tcPr>
            <w:tcW w:w="177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首次响应报价</w:t>
            </w:r>
          </w:p>
        </w:tc>
        <w:tc>
          <w:tcPr>
            <w:tcW w:w="127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ascii="宋体" w:hAnsi="宋体"/>
                <w:color w:val="auto"/>
                <w:sz w:val="24"/>
                <w:szCs w:val="24"/>
              </w:rPr>
              <w:t>服务地点</w:t>
            </w:r>
          </w:p>
        </w:tc>
        <w:tc>
          <w:tcPr>
            <w:tcW w:w="141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ascii="宋体" w:hAnsi="宋体"/>
                <w:color w:val="auto"/>
                <w:sz w:val="24"/>
                <w:szCs w:val="24"/>
              </w:rPr>
              <w:t>服务</w:t>
            </w:r>
            <w:r>
              <w:rPr>
                <w:rFonts w:hint="eastAsia" w:ascii="宋体" w:hAnsi="宋体"/>
                <w:color w:val="auto"/>
                <w:sz w:val="24"/>
                <w:szCs w:val="24"/>
              </w:rPr>
              <w:t>时间</w:t>
            </w:r>
          </w:p>
        </w:tc>
        <w:tc>
          <w:tcPr>
            <w:tcW w:w="90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0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c>
          <w:tcPr>
            <w:tcW w:w="85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olor w:val="auto"/>
                <w:sz w:val="24"/>
                <w:szCs w:val="24"/>
              </w:rPr>
            </w:pPr>
          </w:p>
        </w:tc>
        <w:tc>
          <w:tcPr>
            <w:tcW w:w="177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c>
          <w:tcPr>
            <w:tcW w:w="90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8528" w:type="dxa"/>
            <w:gridSpan w:val="7"/>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hAnsi="宋体"/>
                <w:color w:val="auto"/>
                <w:sz w:val="24"/>
                <w:szCs w:val="24"/>
              </w:rPr>
            </w:pPr>
            <w:r>
              <w:rPr>
                <w:rFonts w:hint="eastAsia" w:ascii="宋体" w:hAnsi="宋体"/>
                <w:color w:val="auto"/>
                <w:sz w:val="24"/>
                <w:szCs w:val="24"/>
              </w:rPr>
              <w:t>合计：</w:t>
            </w:r>
          </w:p>
          <w:p>
            <w:pPr>
              <w:wordWrap w:val="0"/>
              <w:spacing w:line="360" w:lineRule="auto"/>
              <w:rPr>
                <w:rFonts w:ascii="宋体" w:hAnsi="宋体"/>
                <w:color w:val="auto"/>
                <w:sz w:val="24"/>
                <w:szCs w:val="24"/>
              </w:rPr>
            </w:pPr>
            <w:r>
              <w:rPr>
                <w:rFonts w:hint="eastAsia" w:ascii="宋体" w:hAnsi="宋体"/>
                <w:color w:val="auto"/>
                <w:sz w:val="24"/>
                <w:szCs w:val="24"/>
              </w:rPr>
              <w:t>大写：</w:t>
            </w:r>
          </w:p>
          <w:p>
            <w:pPr>
              <w:wordWrap w:val="0"/>
              <w:spacing w:line="360" w:lineRule="auto"/>
              <w:rPr>
                <w:rFonts w:ascii="宋体" w:hAnsi="宋体"/>
                <w:color w:val="auto"/>
              </w:rPr>
            </w:pPr>
            <w:r>
              <w:rPr>
                <w:rFonts w:hint="eastAsia" w:ascii="宋体" w:hAnsi="宋体"/>
                <w:color w:val="auto"/>
              </w:rPr>
              <w:t>小写：</w:t>
            </w:r>
          </w:p>
        </w:tc>
      </w:tr>
    </w:tbl>
    <w:p>
      <w:pPr>
        <w:wordWrap w:val="0"/>
        <w:spacing w:line="360" w:lineRule="auto"/>
        <w:rPr>
          <w:rFonts w:ascii="宋体" w:hAnsi="宋体"/>
          <w:color w:val="auto"/>
          <w:sz w:val="24"/>
          <w:szCs w:val="24"/>
        </w:rPr>
      </w:pPr>
    </w:p>
    <w:p>
      <w:pPr>
        <w:wordWrap w:val="0"/>
        <w:spacing w:line="360" w:lineRule="auto"/>
        <w:rPr>
          <w:rFonts w:ascii="宋体" w:hAnsi="宋体"/>
          <w:color w:val="auto"/>
          <w:sz w:val="24"/>
          <w:szCs w:val="24"/>
        </w:rPr>
      </w:pP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ordWrap w:val="0"/>
        <w:spacing w:line="360" w:lineRule="auto"/>
        <w:rPr>
          <w:rFonts w:ascii="宋体" w:hAnsi="宋体"/>
          <w:b/>
          <w:bCs/>
          <w:color w:val="auto"/>
          <w:sz w:val="24"/>
          <w:szCs w:val="24"/>
        </w:rPr>
        <w:sectPr>
          <w:footerReference r:id="rId3" w:type="default"/>
          <w:pgSz w:w="11906" w:h="16838"/>
          <w:pgMar w:top="1440" w:right="1797" w:bottom="1440" w:left="1797" w:header="851" w:footer="992" w:gutter="0"/>
          <w:cols w:space="720" w:num="1"/>
        </w:sectPr>
      </w:pPr>
    </w:p>
    <w:bookmarkEnd w:id="347"/>
    <w:bookmarkEnd w:id="348"/>
    <w:bookmarkEnd w:id="349"/>
    <w:bookmarkEnd w:id="350"/>
    <w:bookmarkEnd w:id="351"/>
    <w:bookmarkEnd w:id="352"/>
    <w:bookmarkEnd w:id="353"/>
    <w:bookmarkEnd w:id="354"/>
    <w:bookmarkEnd w:id="355"/>
    <w:bookmarkEnd w:id="356"/>
    <w:bookmarkEnd w:id="357"/>
    <w:p>
      <w:pPr>
        <w:pStyle w:val="84"/>
        <w:keepLines/>
        <w:pageBreakBefore/>
        <w:wordWrap w:val="0"/>
        <w:spacing w:line="360" w:lineRule="auto"/>
        <w:jc w:val="center"/>
        <w:outlineLvl w:val="1"/>
        <w:rPr>
          <w:rFonts w:hAnsi="宋体" w:cs="宋体"/>
          <w:b/>
          <w:color w:val="auto"/>
          <w:sz w:val="32"/>
          <w:szCs w:val="32"/>
        </w:rPr>
      </w:pPr>
      <w:bookmarkStart w:id="366" w:name="_Toc115273188"/>
      <w:bookmarkStart w:id="367" w:name="_Toc131438716"/>
      <w:bookmarkStart w:id="368" w:name="_Toc131530306"/>
      <w:bookmarkStart w:id="369" w:name="_Toc118126130"/>
      <w:bookmarkStart w:id="370" w:name="_Toc3568"/>
      <w:bookmarkStart w:id="371" w:name="_Toc132034566"/>
      <w:bookmarkStart w:id="372" w:name="_Toc120699950"/>
      <w:bookmarkStart w:id="373" w:name="_Toc120705561"/>
      <w:bookmarkStart w:id="374" w:name="_Toc117525486"/>
      <w:r>
        <w:rPr>
          <w:rFonts w:hAnsi="宋体" w:cs="宋体"/>
          <w:b/>
          <w:color w:val="auto"/>
          <w:sz w:val="32"/>
          <w:szCs w:val="32"/>
        </w:rPr>
        <w:t>报价分项一览表（供应商可自行拟定）</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wordWrap w:val="0"/>
        <w:spacing w:line="360" w:lineRule="auto"/>
        <w:rPr>
          <w:rFonts w:ascii="宋体" w:hAnsi="宋体" w:cs="宋体"/>
          <w:color w:val="auto"/>
          <w:sz w:val="24"/>
          <w:szCs w:val="24"/>
        </w:rPr>
      </w:pPr>
      <w:bookmarkStart w:id="375" w:name="_Toc483561167"/>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项目编号：         </w:t>
      </w:r>
      <w:r>
        <w:rPr>
          <w:rFonts w:ascii="宋体" w:hAnsi="宋体" w:cs="宋体"/>
          <w:color w:val="auto"/>
          <w:sz w:val="24"/>
          <w:szCs w:val="24"/>
        </w:rPr>
        <w:t xml:space="preserve">                             </w:t>
      </w:r>
      <w:r>
        <w:rPr>
          <w:rFonts w:hint="eastAsia" w:ascii="宋体" w:hAnsi="宋体" w:cs="宋体"/>
          <w:color w:val="auto"/>
          <w:sz w:val="24"/>
          <w:szCs w:val="24"/>
        </w:rPr>
        <w:t>货币单位：</w:t>
      </w:r>
    </w:p>
    <w:p>
      <w:pPr>
        <w:wordWrap w:val="0"/>
        <w:spacing w:line="360" w:lineRule="auto"/>
        <w:jc w:val="left"/>
        <w:rPr>
          <w:rFonts w:ascii="宋体" w:hAnsi="宋体" w:cs="宋体"/>
          <w:color w:val="auto"/>
          <w:sz w:val="24"/>
          <w:szCs w:val="24"/>
        </w:rPr>
      </w:pPr>
    </w:p>
    <w:p>
      <w:pPr>
        <w:wordWrap w:val="0"/>
        <w:spacing w:line="360" w:lineRule="auto"/>
        <w:jc w:val="center"/>
        <w:rPr>
          <w:rFonts w:ascii="宋体" w:hAnsi="宋体" w:cs="宋体"/>
          <w:color w:val="auto"/>
          <w:sz w:val="24"/>
          <w:szCs w:val="24"/>
        </w:rPr>
      </w:pPr>
      <w:r>
        <w:rPr>
          <w:rFonts w:hint="eastAsia" w:ascii="宋体" w:hAnsi="宋体" w:cs="宋体"/>
          <w:color w:val="auto"/>
          <w:sz w:val="24"/>
          <w:szCs w:val="24"/>
        </w:rPr>
        <w:t>（供应商可自行拟定）</w:t>
      </w:r>
    </w:p>
    <w:p>
      <w:pPr>
        <w:wordWrap w:val="0"/>
        <w:spacing w:line="360" w:lineRule="auto"/>
        <w:rPr>
          <w:rFonts w:ascii="宋体" w:hAnsi="宋体" w:cs="宋体"/>
          <w:b/>
          <w:bCs/>
          <w:color w:val="auto"/>
          <w:sz w:val="24"/>
          <w:szCs w:val="24"/>
        </w:rPr>
      </w:pPr>
    </w:p>
    <w:p>
      <w:pPr>
        <w:wordWrap w:val="0"/>
        <w:spacing w:line="360" w:lineRule="auto"/>
        <w:rPr>
          <w:rFonts w:ascii="宋体" w:hAnsi="宋体" w:cs="宋体"/>
          <w:color w:val="auto"/>
          <w:sz w:val="24"/>
          <w:szCs w:val="24"/>
        </w:rPr>
      </w:pPr>
      <w:r>
        <w:rPr>
          <w:rFonts w:hint="eastAsia" w:ascii="宋体" w:hAnsi="宋体" w:cs="宋体"/>
          <w:color w:val="auto"/>
          <w:sz w:val="24"/>
          <w:szCs w:val="24"/>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6"/>
        <w:wordWrap w:val="0"/>
        <w:snapToGrid w:val="0"/>
        <w:spacing w:line="360" w:lineRule="auto"/>
        <w:jc w:val="left"/>
        <w:rPr>
          <w:rFonts w:hAnsi="宋体" w:cs="宋体"/>
          <w:color w:val="auto"/>
          <w:sz w:val="24"/>
          <w:szCs w:val="24"/>
        </w:rPr>
      </w:pPr>
    </w:p>
    <w:p>
      <w:pPr>
        <w:pStyle w:val="16"/>
        <w:wordWrap w:val="0"/>
        <w:snapToGrid w:val="0"/>
        <w:spacing w:line="360" w:lineRule="auto"/>
        <w:jc w:val="left"/>
        <w:rPr>
          <w:rFonts w:hAnsi="宋体" w:cs="宋体"/>
          <w:color w:val="auto"/>
          <w:sz w:val="24"/>
          <w:szCs w:val="24"/>
        </w:rPr>
        <w:sectPr>
          <w:pgSz w:w="11906" w:h="16838"/>
          <w:pgMar w:top="1247" w:right="1416" w:bottom="1247" w:left="1418" w:header="567" w:footer="567" w:gutter="0"/>
          <w:cols w:space="720" w:num="1"/>
          <w:docGrid w:linePitch="381" w:charSpace="0"/>
        </w:sectPr>
      </w:pPr>
    </w:p>
    <w:p>
      <w:pPr>
        <w:pStyle w:val="84"/>
        <w:keepLines/>
        <w:pageBreakBefore/>
        <w:wordWrap w:val="0"/>
        <w:spacing w:line="360" w:lineRule="auto"/>
        <w:jc w:val="center"/>
        <w:outlineLvl w:val="1"/>
        <w:rPr>
          <w:rFonts w:hAnsi="宋体" w:cs="宋体"/>
          <w:b/>
          <w:color w:val="auto"/>
          <w:sz w:val="32"/>
          <w:szCs w:val="32"/>
        </w:rPr>
      </w:pPr>
      <w:bookmarkStart w:id="376" w:name="_Toc483561175"/>
      <w:bookmarkStart w:id="377" w:name="_Toc131438717"/>
      <w:bookmarkStart w:id="378" w:name="_Toc115273190"/>
      <w:bookmarkStart w:id="379" w:name="_Toc17562"/>
      <w:bookmarkStart w:id="380" w:name="_Toc17227455"/>
      <w:bookmarkStart w:id="381" w:name="_Toc120699951"/>
      <w:bookmarkStart w:id="382" w:name="_Toc117525488"/>
      <w:bookmarkStart w:id="383" w:name="_Toc3960"/>
      <w:bookmarkStart w:id="384" w:name="_Toc72242092"/>
      <w:bookmarkStart w:id="385" w:name="_Toc99382025"/>
      <w:bookmarkStart w:id="386" w:name="_Toc91768093"/>
      <w:bookmarkStart w:id="387" w:name="_Toc15780"/>
      <w:bookmarkStart w:id="388" w:name="_Toc118126132"/>
      <w:bookmarkStart w:id="389" w:name="_Toc132034567"/>
      <w:bookmarkStart w:id="390" w:name="_Toc21002"/>
      <w:bookmarkStart w:id="391" w:name="_Toc92179948"/>
      <w:bookmarkStart w:id="392" w:name="_Toc2687"/>
      <w:bookmarkStart w:id="393" w:name="_Toc131530307"/>
      <w:bookmarkStart w:id="394" w:name="_Toc120705562"/>
      <w:bookmarkStart w:id="395" w:name="_Toc100242653"/>
      <w:bookmarkStart w:id="396" w:name="_Hlk72246706"/>
      <w:bookmarkStart w:id="397" w:name="_Toc29468"/>
      <w:bookmarkStart w:id="398" w:name="_Toc17227451"/>
      <w:bookmarkStart w:id="399" w:name="_Toc99382024"/>
      <w:bookmarkStart w:id="400" w:name="_Toc91768090"/>
      <w:bookmarkStart w:id="401" w:name="_Toc72242088"/>
      <w:bookmarkStart w:id="402" w:name="_Toc115273189"/>
      <w:bookmarkStart w:id="403" w:name="_Toc9695"/>
      <w:bookmarkStart w:id="404" w:name="_Toc100242652"/>
      <w:bookmarkStart w:id="405" w:name="_Toc118126131"/>
      <w:bookmarkStart w:id="406" w:name="_Toc467579118"/>
      <w:bookmarkStart w:id="407" w:name="_Toc20028"/>
      <w:bookmarkStart w:id="408" w:name="_Toc9946"/>
      <w:bookmarkStart w:id="409" w:name="_Toc117525487"/>
      <w:bookmarkStart w:id="410" w:name="_Toc92179945"/>
      <w:r>
        <w:rPr>
          <w:rFonts w:hAnsi="宋体" w:cs="宋体"/>
          <w:b/>
          <w:color w:val="auto"/>
          <w:sz w:val="32"/>
          <w:szCs w:val="32"/>
        </w:rPr>
        <w:t>磋商响应供应商的资格证明文件</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Style w:val="4"/>
        <w:wordWrap w:val="0"/>
        <w:spacing w:line="360" w:lineRule="auto"/>
        <w:ind w:left="210"/>
        <w:jc w:val="center"/>
        <w:rPr>
          <w:rFonts w:ascii="宋体" w:hAnsi="宋体"/>
          <w:color w:val="auto"/>
          <w:sz w:val="28"/>
        </w:rPr>
      </w:pPr>
      <w:bookmarkStart w:id="411" w:name="_Toc115273191"/>
      <w:r>
        <w:rPr>
          <w:rFonts w:hint="eastAsia" w:ascii="宋体" w:hAnsi="宋体"/>
          <w:color w:val="auto"/>
          <w:sz w:val="28"/>
        </w:rPr>
        <w:t>（1）关于资格的声明函</w:t>
      </w:r>
      <w:bookmarkEnd w:id="411"/>
    </w:p>
    <w:p>
      <w:pPr>
        <w:wordWrap w:val="0"/>
        <w:spacing w:line="360" w:lineRule="auto"/>
        <w:rPr>
          <w:rFonts w:ascii="宋体" w:hAnsi="宋体"/>
          <w:bCs/>
          <w:color w:val="auto"/>
          <w:sz w:val="24"/>
          <w:szCs w:val="24"/>
        </w:rPr>
      </w:pPr>
      <w:r>
        <w:rPr>
          <w:rFonts w:hint="eastAsia" w:ascii="宋体" w:hAnsi="宋体"/>
          <w:bCs/>
          <w:color w:val="auto"/>
          <w:sz w:val="24"/>
          <w:szCs w:val="24"/>
          <w:u w:val="single"/>
        </w:rPr>
        <w:t>建信发展（厦门）采购招标有限公司</w:t>
      </w:r>
      <w:r>
        <w:rPr>
          <w:rFonts w:hint="eastAsia" w:ascii="宋体" w:hAnsi="宋体"/>
          <w:bCs/>
          <w:color w:val="auto"/>
          <w:sz w:val="24"/>
          <w:szCs w:val="24"/>
        </w:rPr>
        <w:t>：</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关于贵方</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（项目编号）  </w:t>
      </w:r>
      <w:r>
        <w:rPr>
          <w:rFonts w:hint="eastAsia" w:ascii="宋体" w:hAnsi="宋体"/>
          <w:color w:val="auto"/>
          <w:sz w:val="24"/>
          <w:szCs w:val="24"/>
        </w:rPr>
        <w:t>政府采购磋商邀请，本签字人愿意参加磋商，提供采购文件“采购项目及要求”中规定的</w:t>
      </w:r>
      <w:r>
        <w:rPr>
          <w:rFonts w:hint="eastAsia" w:ascii="宋体" w:hAnsi="宋体"/>
          <w:color w:val="auto"/>
          <w:sz w:val="24"/>
          <w:szCs w:val="24"/>
          <w:u w:val="single"/>
        </w:rPr>
        <w:t xml:space="preserve">          </w:t>
      </w:r>
      <w:r>
        <w:rPr>
          <w:rFonts w:hint="eastAsia" w:ascii="宋体" w:hAnsi="宋体"/>
          <w:color w:val="auto"/>
          <w:sz w:val="24"/>
          <w:szCs w:val="24"/>
        </w:rPr>
        <w:t>（合同包/品目号）</w:t>
      </w:r>
      <w:r>
        <w:rPr>
          <w:rFonts w:hint="eastAsia" w:ascii="宋体" w:hAnsi="宋体"/>
          <w:color w:val="auto"/>
          <w:sz w:val="24"/>
          <w:szCs w:val="24"/>
          <w:u w:val="single"/>
        </w:rPr>
        <w:t xml:space="preserve">         </w:t>
      </w:r>
      <w:r>
        <w:rPr>
          <w:rFonts w:hint="eastAsia" w:ascii="宋体" w:hAnsi="宋体"/>
          <w:color w:val="auto"/>
          <w:sz w:val="24"/>
          <w:szCs w:val="24"/>
        </w:rPr>
        <w:t>（项目名称），并证明提交的下列文件和说明是准确的和真实的。</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1．本签字人确认资格文件中的说明以及报价文件中所有提交的文件和材料是真实的、准确的。</w:t>
      </w:r>
    </w:p>
    <w:p>
      <w:pPr>
        <w:wordWrap w:val="0"/>
        <w:spacing w:line="360" w:lineRule="auto"/>
        <w:ind w:firstLine="480" w:firstLineChars="200"/>
        <w:rPr>
          <w:rFonts w:ascii="宋体" w:hAnsi="宋体"/>
          <w:color w:val="auto"/>
          <w:sz w:val="24"/>
          <w:szCs w:val="24"/>
        </w:rPr>
      </w:pPr>
      <w:r>
        <w:rPr>
          <w:rFonts w:hint="eastAsia" w:ascii="宋体" w:hAnsi="宋体"/>
          <w:color w:val="auto"/>
          <w:sz w:val="24"/>
          <w:szCs w:val="24"/>
        </w:rPr>
        <w:t>2．我方的资格声明</w:t>
      </w:r>
      <w:r>
        <w:rPr>
          <w:rFonts w:hint="eastAsia" w:ascii="宋体" w:hAnsi="宋体"/>
          <w:b/>
          <w:bCs/>
          <w:color w:val="auto"/>
          <w:sz w:val="24"/>
          <w:szCs w:val="24"/>
        </w:rPr>
        <w:t>正本一份，副本</w:t>
      </w:r>
      <w:r>
        <w:rPr>
          <w:rFonts w:hint="eastAsia" w:ascii="宋体" w:hAnsi="宋体"/>
          <w:b/>
          <w:bCs/>
          <w:color w:val="auto"/>
          <w:sz w:val="24"/>
          <w:szCs w:val="24"/>
          <w:u w:val="single"/>
        </w:rPr>
        <w:t>二</w:t>
      </w:r>
      <w:r>
        <w:rPr>
          <w:rFonts w:hint="eastAsia" w:ascii="宋体" w:hAnsi="宋体"/>
          <w:b/>
          <w:bCs/>
          <w:color w:val="auto"/>
          <w:sz w:val="24"/>
          <w:szCs w:val="24"/>
        </w:rPr>
        <w:t>份</w:t>
      </w:r>
      <w:r>
        <w:rPr>
          <w:rFonts w:hint="eastAsia" w:ascii="宋体" w:hAnsi="宋体"/>
          <w:color w:val="auto"/>
          <w:sz w:val="24"/>
          <w:szCs w:val="24"/>
        </w:rPr>
        <w:t>，随报价文件一同递交。</w:t>
      </w:r>
    </w:p>
    <w:p>
      <w:pPr>
        <w:wordWrap w:val="0"/>
        <w:spacing w:line="360" w:lineRule="auto"/>
        <w:rPr>
          <w:rFonts w:ascii="宋体" w:hAnsi="宋体"/>
          <w:color w:val="auto"/>
          <w:sz w:val="24"/>
          <w:szCs w:val="24"/>
        </w:rPr>
      </w:pPr>
    </w:p>
    <w:p>
      <w:pPr>
        <w:wordWrap w:val="0"/>
        <w:spacing w:line="360" w:lineRule="auto"/>
        <w:rPr>
          <w:rFonts w:ascii="宋体" w:hAnsi="宋体"/>
          <w:color w:val="auto"/>
          <w:sz w:val="24"/>
          <w:szCs w:val="24"/>
        </w:rPr>
      </w:pPr>
    </w:p>
    <w:p>
      <w:pPr>
        <w:wordWrap w:val="0"/>
        <w:spacing w:line="360" w:lineRule="auto"/>
        <w:rPr>
          <w:rFonts w:ascii="宋体" w:hAnsi="宋体"/>
          <w:color w:val="auto"/>
          <w:sz w:val="24"/>
          <w:szCs w:val="24"/>
        </w:rPr>
      </w:pP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ordWrap w:val="0"/>
        <w:spacing w:line="360" w:lineRule="auto"/>
        <w:rPr>
          <w:rFonts w:ascii="宋体" w:hAnsi="宋体"/>
          <w:color w:val="auto"/>
          <w:sz w:val="24"/>
          <w:szCs w:val="24"/>
        </w:rPr>
      </w:pPr>
    </w:p>
    <w:p>
      <w:pPr>
        <w:pStyle w:val="73"/>
        <w:wordWrap w:val="0"/>
        <w:spacing w:line="360" w:lineRule="auto"/>
        <w:rPr>
          <w:rFonts w:ascii="宋体" w:hAnsi="宋体"/>
          <w:b/>
          <w:color w:val="auto"/>
          <w:szCs w:val="22"/>
          <w:u w:val="single"/>
        </w:rPr>
      </w:pPr>
    </w:p>
    <w:p>
      <w:pPr>
        <w:pStyle w:val="4"/>
        <w:pageBreakBefore/>
        <w:wordWrap w:val="0"/>
        <w:spacing w:line="360" w:lineRule="auto"/>
        <w:ind w:left="210"/>
        <w:jc w:val="center"/>
        <w:rPr>
          <w:rFonts w:ascii="宋体" w:hAnsi="宋体"/>
          <w:color w:val="auto"/>
          <w:sz w:val="28"/>
        </w:rPr>
      </w:pPr>
      <w:bookmarkStart w:id="412" w:name="_Toc115273192"/>
      <w:r>
        <w:rPr>
          <w:rFonts w:hint="eastAsia" w:ascii="宋体" w:hAnsi="宋体"/>
          <w:color w:val="auto"/>
          <w:sz w:val="28"/>
        </w:rPr>
        <w:t>（</w:t>
      </w:r>
      <w:r>
        <w:rPr>
          <w:rFonts w:ascii="宋体" w:hAnsi="宋体"/>
          <w:color w:val="auto"/>
          <w:sz w:val="28"/>
        </w:rPr>
        <w:t>2</w:t>
      </w:r>
      <w:r>
        <w:rPr>
          <w:rFonts w:hint="eastAsia" w:ascii="宋体" w:hAnsi="宋体"/>
          <w:color w:val="auto"/>
          <w:sz w:val="28"/>
        </w:rPr>
        <w:t>）资格审查表</w:t>
      </w:r>
      <w:bookmarkEnd w:id="412"/>
    </w:p>
    <w:tbl>
      <w:tblPr>
        <w:tblStyle w:val="29"/>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4819"/>
        <w:gridCol w:w="1559"/>
        <w:gridCol w:w="906"/>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1335" w:type="dxa"/>
            <w:vAlign w:val="center"/>
          </w:tcPr>
          <w:p>
            <w:pPr>
              <w:wordWrap w:val="0"/>
              <w:spacing w:before="120" w:beforeLines="50" w:after="120" w:afterLines="50"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4819" w:type="dxa"/>
            <w:vAlign w:val="center"/>
          </w:tcPr>
          <w:p>
            <w:pPr>
              <w:wordWrap w:val="0"/>
              <w:spacing w:before="120" w:beforeLines="50" w:after="120" w:afterLines="50" w:line="360" w:lineRule="auto"/>
              <w:jc w:val="center"/>
              <w:rPr>
                <w:rFonts w:ascii="宋体" w:hAnsi="宋体"/>
                <w:b/>
                <w:bCs/>
                <w:color w:val="auto"/>
                <w:sz w:val="24"/>
                <w:szCs w:val="24"/>
              </w:rPr>
            </w:pPr>
            <w:r>
              <w:rPr>
                <w:rFonts w:hint="eastAsia" w:ascii="宋体" w:hAnsi="宋体"/>
                <w:b/>
                <w:bCs/>
                <w:color w:val="auto"/>
                <w:sz w:val="24"/>
                <w:szCs w:val="24"/>
              </w:rPr>
              <w:t>资格证明文件</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r>
              <w:rPr>
                <w:rFonts w:hint="eastAsia" w:ascii="宋体" w:hAnsi="宋体"/>
                <w:b/>
                <w:bCs/>
                <w:color w:val="auto"/>
                <w:sz w:val="24"/>
                <w:szCs w:val="24"/>
              </w:rPr>
              <w:t>对应报价文件页码</w:t>
            </w: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r>
              <w:rPr>
                <w:rFonts w:hint="eastAsia" w:ascii="宋体" w:hAnsi="宋体"/>
                <w:b/>
                <w:bCs/>
                <w:color w:val="auto"/>
                <w:sz w:val="24"/>
                <w:szCs w:val="24"/>
              </w:rPr>
              <w:t>说明</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335"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1</w:t>
            </w:r>
          </w:p>
        </w:tc>
        <w:tc>
          <w:tcPr>
            <w:tcW w:w="4819"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color w:val="auto"/>
                <w:sz w:val="24"/>
                <w:szCs w:val="24"/>
              </w:rPr>
              <w:t>加载有统一社会</w:t>
            </w:r>
            <w:del w:id="44" w:author="bgs" w:date="2025-09-22T11:19:17Z">
              <w:r>
                <w:rPr>
                  <w:rFonts w:hint="default" w:ascii="宋体" w:hAnsi="宋体"/>
                  <w:color w:val="auto"/>
                  <w:sz w:val="24"/>
                  <w:szCs w:val="24"/>
                  <w:lang w:val="en-US"/>
                </w:rPr>
                <w:delText>征信</w:delText>
              </w:r>
            </w:del>
            <w:ins w:id="45" w:author="bgs" w:date="2025-09-22T11:19:20Z">
              <w:r>
                <w:rPr>
                  <w:rFonts w:hint="eastAsia" w:ascii="宋体" w:hAnsi="宋体"/>
                  <w:color w:val="auto"/>
                  <w:sz w:val="24"/>
                  <w:szCs w:val="24"/>
                  <w:lang w:val="en-US" w:eastAsia="zh-CN"/>
                </w:rPr>
                <w:t>信用</w:t>
              </w:r>
            </w:ins>
            <w:r>
              <w:rPr>
                <w:rFonts w:hint="eastAsia" w:ascii="宋体" w:hAnsi="宋体"/>
                <w:color w:val="auto"/>
                <w:sz w:val="24"/>
                <w:szCs w:val="24"/>
              </w:rPr>
              <w:t>代码的营业执照复印件</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1335" w:type="dxa"/>
            <w:vMerge w:val="restart"/>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2（2.1、2.2、二选一，提供其中一项即可）</w:t>
            </w:r>
          </w:p>
        </w:tc>
        <w:tc>
          <w:tcPr>
            <w:tcW w:w="4819"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2.1财务状况报告</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335" w:type="dxa"/>
            <w:vMerge w:val="continue"/>
            <w:vAlign w:val="center"/>
          </w:tcPr>
          <w:p>
            <w:pPr>
              <w:wordWrap w:val="0"/>
              <w:spacing w:before="120" w:beforeLines="50" w:after="120" w:afterLines="50" w:line="360" w:lineRule="auto"/>
              <w:jc w:val="center"/>
              <w:rPr>
                <w:rFonts w:ascii="宋体" w:hAnsi="宋体"/>
                <w:b/>
                <w:color w:val="auto"/>
                <w:sz w:val="24"/>
                <w:szCs w:val="24"/>
              </w:rPr>
            </w:pPr>
          </w:p>
        </w:tc>
        <w:tc>
          <w:tcPr>
            <w:tcW w:w="4819"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2.2基本开户银行出具的资信证明及开户许可证</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3</w:t>
            </w:r>
          </w:p>
        </w:tc>
        <w:tc>
          <w:tcPr>
            <w:tcW w:w="4819"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近期缴纳税收（如增值税或企业所得税等）的凭据复印件或完税证明</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4</w:t>
            </w:r>
          </w:p>
        </w:tc>
        <w:tc>
          <w:tcPr>
            <w:tcW w:w="4819"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缴纳社会保险的凭据（专用收据）或社保网站打印的清单</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5</w:t>
            </w:r>
          </w:p>
        </w:tc>
        <w:tc>
          <w:tcPr>
            <w:tcW w:w="4819"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具备履行合同所必需的设备和专业技术能力的承诺书</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6</w:t>
            </w:r>
          </w:p>
        </w:tc>
        <w:tc>
          <w:tcPr>
            <w:tcW w:w="4819"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法人授权书原件</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7</w:t>
            </w:r>
          </w:p>
        </w:tc>
        <w:tc>
          <w:tcPr>
            <w:tcW w:w="4819" w:type="dxa"/>
            <w:vAlign w:val="center"/>
          </w:tcPr>
          <w:p>
            <w:pPr>
              <w:wordWrap w:val="0"/>
              <w:spacing w:before="120" w:beforeLines="50" w:after="120" w:afterLines="50" w:line="360" w:lineRule="auto"/>
              <w:jc w:val="center"/>
              <w:rPr>
                <w:rFonts w:ascii="宋体" w:hAnsi="宋体"/>
                <w:b/>
                <w:color w:val="auto"/>
                <w:sz w:val="24"/>
                <w:szCs w:val="24"/>
              </w:rPr>
            </w:pPr>
            <w:r>
              <w:rPr>
                <w:rFonts w:hint="eastAsia" w:ascii="宋体" w:hAnsi="宋体"/>
                <w:b/>
                <w:color w:val="auto"/>
                <w:sz w:val="24"/>
                <w:szCs w:val="24"/>
              </w:rPr>
              <w:t>资格承诺函（提供资格承诺函的，可按承诺内容无需提供本表第2、3、4项内容）</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35" w:type="dxa"/>
            <w:vAlign w:val="center"/>
          </w:tcPr>
          <w:p>
            <w:pPr>
              <w:wordWrap w:val="0"/>
              <w:spacing w:before="120" w:beforeLines="50" w:after="120" w:afterLines="50" w:line="360" w:lineRule="auto"/>
              <w:jc w:val="center"/>
              <w:rPr>
                <w:rFonts w:ascii="宋体" w:hAnsi="宋体"/>
                <w:bCs/>
                <w:color w:val="auto"/>
                <w:sz w:val="24"/>
                <w:szCs w:val="24"/>
              </w:rPr>
            </w:pPr>
            <w:r>
              <w:rPr>
                <w:rFonts w:ascii="宋体" w:hAnsi="宋体"/>
                <w:bCs/>
                <w:color w:val="auto"/>
                <w:sz w:val="24"/>
                <w:szCs w:val="24"/>
              </w:rPr>
              <w:t>8</w:t>
            </w:r>
          </w:p>
        </w:tc>
        <w:tc>
          <w:tcPr>
            <w:tcW w:w="4819" w:type="dxa"/>
            <w:vAlign w:val="center"/>
          </w:tcPr>
          <w:p>
            <w:pPr>
              <w:wordWrap w:val="0"/>
              <w:spacing w:before="120" w:beforeLines="50" w:after="120" w:afterLines="50" w:line="360" w:lineRule="auto"/>
              <w:jc w:val="center"/>
              <w:rPr>
                <w:rFonts w:ascii="宋体" w:hAnsi="宋体"/>
                <w:bCs/>
                <w:color w:val="auto"/>
                <w:sz w:val="24"/>
                <w:szCs w:val="24"/>
              </w:rPr>
            </w:pPr>
            <w:r>
              <w:rPr>
                <w:rFonts w:hint="eastAsia" w:ascii="宋体" w:hAnsi="宋体"/>
                <w:bCs/>
                <w:color w:val="auto"/>
                <w:sz w:val="24"/>
                <w:szCs w:val="24"/>
              </w:rPr>
              <w:t>其他</w:t>
            </w:r>
          </w:p>
        </w:tc>
        <w:tc>
          <w:tcPr>
            <w:tcW w:w="1559" w:type="dxa"/>
            <w:vAlign w:val="center"/>
          </w:tcPr>
          <w:p>
            <w:pPr>
              <w:wordWrap w:val="0"/>
              <w:spacing w:before="120" w:beforeLines="50" w:after="120" w:afterLines="50" w:line="360" w:lineRule="auto"/>
              <w:jc w:val="center"/>
              <w:rPr>
                <w:rFonts w:ascii="宋体" w:hAnsi="宋体"/>
                <w:b/>
                <w:bCs/>
                <w:color w:val="auto"/>
                <w:sz w:val="24"/>
                <w:szCs w:val="24"/>
              </w:rPr>
            </w:pPr>
          </w:p>
        </w:tc>
        <w:tc>
          <w:tcPr>
            <w:tcW w:w="906" w:type="dxa"/>
            <w:vAlign w:val="center"/>
          </w:tcPr>
          <w:p>
            <w:pPr>
              <w:wordWrap w:val="0"/>
              <w:spacing w:before="120" w:beforeLines="50" w:after="120" w:afterLines="50" w:line="360" w:lineRule="auto"/>
              <w:jc w:val="center"/>
              <w:rPr>
                <w:rFonts w:ascii="宋体" w:hAnsi="宋体"/>
                <w:b/>
                <w:bCs/>
                <w:color w:val="auto"/>
                <w:sz w:val="24"/>
                <w:szCs w:val="24"/>
              </w:rPr>
            </w:pPr>
          </w:p>
        </w:tc>
      </w:tr>
    </w:tbl>
    <w:p>
      <w:pPr>
        <w:wordWrap w:val="0"/>
        <w:spacing w:line="360" w:lineRule="auto"/>
        <w:jc w:val="center"/>
        <w:rPr>
          <w:rFonts w:ascii="宋体" w:hAnsi="宋体"/>
          <w:b/>
          <w:color w:val="auto"/>
          <w:sz w:val="24"/>
          <w:szCs w:val="24"/>
        </w:rPr>
      </w:pPr>
    </w:p>
    <w:p>
      <w:pPr>
        <w:pStyle w:val="4"/>
        <w:pageBreakBefore/>
        <w:wordWrap w:val="0"/>
        <w:spacing w:line="360" w:lineRule="auto"/>
        <w:ind w:left="210"/>
        <w:jc w:val="center"/>
        <w:rPr>
          <w:rFonts w:ascii="宋体" w:hAnsi="宋体"/>
          <w:color w:val="auto"/>
          <w:sz w:val="28"/>
        </w:rPr>
      </w:pPr>
      <w:bookmarkStart w:id="413" w:name="_Toc115273193"/>
      <w:r>
        <w:rPr>
          <w:rFonts w:hint="eastAsia" w:ascii="宋体" w:hAnsi="宋体"/>
          <w:color w:val="auto"/>
          <w:sz w:val="28"/>
        </w:rPr>
        <w:t>（</w:t>
      </w:r>
      <w:r>
        <w:rPr>
          <w:rFonts w:ascii="宋体" w:hAnsi="宋体"/>
          <w:color w:val="auto"/>
          <w:sz w:val="28"/>
        </w:rPr>
        <w:t>3</w:t>
      </w:r>
      <w:r>
        <w:rPr>
          <w:rFonts w:hint="eastAsia" w:ascii="宋体" w:hAnsi="宋体"/>
          <w:color w:val="auto"/>
          <w:sz w:val="28"/>
        </w:rPr>
        <w:t>）法人授权书</w:t>
      </w:r>
      <w:bookmarkEnd w:id="413"/>
    </w:p>
    <w:p>
      <w:pPr>
        <w:wordWrap w:val="0"/>
        <w:spacing w:line="360" w:lineRule="auto"/>
        <w:rPr>
          <w:rFonts w:ascii="宋体" w:hAnsi="宋体"/>
          <w:color w:val="auto"/>
          <w:sz w:val="24"/>
          <w:szCs w:val="24"/>
        </w:rPr>
      </w:pPr>
      <w:r>
        <w:rPr>
          <w:rFonts w:hint="eastAsia" w:ascii="宋体" w:hAnsi="宋体"/>
          <w:color w:val="auto"/>
          <w:sz w:val="24"/>
          <w:szCs w:val="24"/>
          <w:u w:val="single"/>
        </w:rPr>
        <w:t>建信发展（厦门）采购招标有限公司（采购代理机构）</w:t>
      </w:r>
      <w:r>
        <w:rPr>
          <w:rFonts w:hint="eastAsia" w:ascii="宋体" w:hAnsi="宋体"/>
          <w:color w:val="auto"/>
          <w:sz w:val="24"/>
          <w:szCs w:val="24"/>
        </w:rPr>
        <w:t>：</w:t>
      </w:r>
    </w:p>
    <w:p>
      <w:pPr>
        <w:pStyle w:val="16"/>
        <w:wordWrap w:val="0"/>
        <w:snapToGrid w:val="0"/>
        <w:spacing w:line="360" w:lineRule="auto"/>
        <w:ind w:firstLine="480" w:firstLineChars="200"/>
        <w:jc w:val="left"/>
        <w:rPr>
          <w:rFonts w:hAnsi="宋体"/>
          <w:color w:val="auto"/>
          <w:sz w:val="24"/>
          <w:szCs w:val="24"/>
        </w:rPr>
      </w:pPr>
      <w:r>
        <w:rPr>
          <w:rFonts w:hint="eastAsia" w:hAnsi="宋体"/>
          <w:color w:val="auto"/>
          <w:sz w:val="24"/>
          <w:szCs w:val="24"/>
          <w:u w:val="single"/>
        </w:rPr>
        <w:t xml:space="preserve">（报价人全称）        </w:t>
      </w:r>
      <w:r>
        <w:rPr>
          <w:rFonts w:hint="eastAsia" w:hAnsi="宋体"/>
          <w:color w:val="auto"/>
          <w:sz w:val="24"/>
          <w:szCs w:val="24"/>
        </w:rPr>
        <w:t xml:space="preserve"> 授权</w:t>
      </w:r>
      <w:r>
        <w:rPr>
          <w:rFonts w:hint="eastAsia" w:hAnsi="宋体"/>
          <w:color w:val="auto"/>
          <w:sz w:val="24"/>
          <w:szCs w:val="24"/>
          <w:u w:val="single"/>
        </w:rPr>
        <w:t xml:space="preserve">  （报价人代表姓名）</w:t>
      </w:r>
      <w:r>
        <w:rPr>
          <w:rFonts w:hint="eastAsia" w:hAnsi="宋体"/>
          <w:color w:val="auto"/>
          <w:sz w:val="24"/>
          <w:szCs w:val="24"/>
        </w:rPr>
        <w:t>为报价人代表，代表本公司参加贵司组织的</w:t>
      </w:r>
      <w:r>
        <w:rPr>
          <w:rFonts w:hint="eastAsia" w:hAnsi="宋体"/>
          <w:color w:val="auto"/>
          <w:sz w:val="24"/>
          <w:szCs w:val="24"/>
          <w:u w:val="single"/>
        </w:rPr>
        <w:t xml:space="preserve">            </w:t>
      </w:r>
      <w:r>
        <w:rPr>
          <w:rFonts w:hint="eastAsia" w:hAnsi="宋体"/>
          <w:color w:val="auto"/>
          <w:sz w:val="24"/>
          <w:szCs w:val="24"/>
        </w:rPr>
        <w:t>项目（项目编号</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16"/>
        <w:wordWrap w:val="0"/>
        <w:snapToGrid w:val="0"/>
        <w:spacing w:line="360" w:lineRule="auto"/>
        <w:ind w:firstLine="480" w:firstLineChars="200"/>
        <w:jc w:val="left"/>
        <w:rPr>
          <w:rFonts w:hAnsi="宋体"/>
          <w:color w:val="auto"/>
          <w:sz w:val="24"/>
          <w:szCs w:val="24"/>
        </w:rPr>
      </w:pPr>
      <w:r>
        <w:rPr>
          <w:rFonts w:hint="eastAsia" w:hAnsi="宋体"/>
          <w:color w:val="auto"/>
          <w:sz w:val="24"/>
          <w:szCs w:val="24"/>
        </w:rPr>
        <w:t>本授权书自出具之日起生效。</w:t>
      </w:r>
    </w:p>
    <w:p>
      <w:pPr>
        <w:wordWrap w:val="0"/>
        <w:spacing w:line="360" w:lineRule="auto"/>
        <w:rPr>
          <w:rFonts w:ascii="宋体" w:hAnsi="宋体"/>
          <w:color w:val="auto"/>
          <w:sz w:val="24"/>
          <w:szCs w:val="24"/>
        </w:rPr>
      </w:pPr>
    </w:p>
    <w:p>
      <w:pPr>
        <w:wordWrap w:val="0"/>
        <w:spacing w:line="360" w:lineRule="auto"/>
        <w:rPr>
          <w:rFonts w:ascii="宋体" w:hAnsi="宋体"/>
          <w:color w:val="auto"/>
          <w:sz w:val="24"/>
          <w:szCs w:val="24"/>
        </w:rPr>
      </w:pPr>
      <w:r>
        <w:rPr>
          <w:rFonts w:hint="eastAsia" w:ascii="宋体" w:hAnsi="宋体"/>
          <w:color w:val="auto"/>
          <w:sz w:val="24"/>
          <w:szCs w:val="24"/>
        </w:rPr>
        <w:t>报价人代表：</w:t>
      </w:r>
      <w:r>
        <w:rPr>
          <w:rFonts w:hint="eastAsia" w:ascii="宋体" w:hAnsi="宋体"/>
          <w:color w:val="auto"/>
          <w:sz w:val="24"/>
          <w:szCs w:val="24"/>
          <w:u w:val="single"/>
        </w:rPr>
        <w:t xml:space="preserve">            </w:t>
      </w:r>
      <w:r>
        <w:rPr>
          <w:rFonts w:hint="eastAsia" w:ascii="宋体" w:hAnsi="宋体"/>
          <w:color w:val="auto"/>
          <w:sz w:val="24"/>
          <w:szCs w:val="24"/>
        </w:rPr>
        <w:t xml:space="preserve">  性别：</w:t>
      </w:r>
      <w:r>
        <w:rPr>
          <w:rFonts w:hint="eastAsia" w:ascii="宋体" w:hAnsi="宋体"/>
          <w:color w:val="auto"/>
          <w:sz w:val="24"/>
          <w:szCs w:val="24"/>
          <w:u w:val="single"/>
        </w:rPr>
        <w:t xml:space="preserve">       </w:t>
      </w:r>
      <w:r>
        <w:rPr>
          <w:rFonts w:hint="eastAsia" w:ascii="宋体" w:hAnsi="宋体"/>
          <w:color w:val="auto"/>
          <w:sz w:val="24"/>
          <w:szCs w:val="24"/>
        </w:rPr>
        <w:t>身份证号：</w:t>
      </w:r>
      <w:r>
        <w:rPr>
          <w:rFonts w:hint="eastAsia" w:ascii="宋体" w:hAnsi="宋体"/>
          <w:color w:val="auto"/>
          <w:sz w:val="24"/>
          <w:szCs w:val="24"/>
          <w:u w:val="single"/>
        </w:rPr>
        <w:t xml:space="preserve">                  </w:t>
      </w:r>
    </w:p>
    <w:p>
      <w:pPr>
        <w:wordWrap w:val="0"/>
        <w:spacing w:line="360" w:lineRule="auto"/>
        <w:rPr>
          <w:rFonts w:ascii="宋体" w:hAnsi="宋体"/>
          <w:color w:val="auto"/>
          <w:sz w:val="24"/>
          <w:szCs w:val="24"/>
        </w:rPr>
      </w:pPr>
      <w:r>
        <w:rPr>
          <w:rFonts w:hint="eastAsia" w:ascii="宋体" w:hAnsi="宋体"/>
          <w:color w:val="auto"/>
          <w:sz w:val="24"/>
          <w:szCs w:val="24"/>
        </w:rPr>
        <w:t>单位：</w:t>
      </w:r>
      <w:r>
        <w:rPr>
          <w:rFonts w:hint="eastAsia" w:ascii="宋体" w:hAnsi="宋体"/>
          <w:color w:val="auto"/>
          <w:sz w:val="24"/>
          <w:szCs w:val="24"/>
          <w:u w:val="single"/>
        </w:rPr>
        <w:t xml:space="preserve">                  </w:t>
      </w:r>
      <w:r>
        <w:rPr>
          <w:rFonts w:hint="eastAsia" w:ascii="宋体" w:hAnsi="宋体"/>
          <w:color w:val="auto"/>
          <w:sz w:val="24"/>
          <w:szCs w:val="24"/>
        </w:rPr>
        <w:t xml:space="preserve">  部门：</w:t>
      </w:r>
      <w:r>
        <w:rPr>
          <w:rFonts w:hint="eastAsia" w:ascii="宋体" w:hAnsi="宋体"/>
          <w:color w:val="auto"/>
          <w:sz w:val="24"/>
          <w:szCs w:val="24"/>
          <w:u w:val="single"/>
        </w:rPr>
        <w:t xml:space="preserve">       </w:t>
      </w:r>
      <w:r>
        <w:rPr>
          <w:rFonts w:hint="eastAsia" w:ascii="宋体" w:hAnsi="宋体"/>
          <w:color w:val="auto"/>
          <w:sz w:val="24"/>
          <w:szCs w:val="24"/>
        </w:rPr>
        <w:t xml:space="preserve">    职务：</w:t>
      </w:r>
      <w:r>
        <w:rPr>
          <w:rFonts w:hint="eastAsia" w:ascii="宋体" w:hAnsi="宋体"/>
          <w:color w:val="auto"/>
          <w:sz w:val="24"/>
          <w:szCs w:val="24"/>
          <w:u w:val="single"/>
        </w:rPr>
        <w:t xml:space="preserve">                  </w:t>
      </w:r>
    </w:p>
    <w:p>
      <w:pPr>
        <w:wordWrap w:val="0"/>
        <w:spacing w:line="360" w:lineRule="auto"/>
        <w:rPr>
          <w:rFonts w:ascii="宋体" w:hAnsi="宋体"/>
          <w:color w:val="auto"/>
          <w:sz w:val="24"/>
          <w:szCs w:val="24"/>
          <w:u w:val="single"/>
        </w:rPr>
      </w:pPr>
      <w:r>
        <w:rPr>
          <w:rFonts w:hint="eastAsia" w:ascii="宋体" w:hAnsi="宋体"/>
          <w:color w:val="auto"/>
          <w:sz w:val="24"/>
          <w:szCs w:val="24"/>
        </w:rPr>
        <w:t>详细通讯地址：</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宋体" w:hAnsi="宋体"/>
          <w:b/>
          <w:bCs/>
          <w:color w:val="auto"/>
          <w:sz w:val="24"/>
          <w:szCs w:val="24"/>
        </w:rPr>
        <w:t xml:space="preserve"> </w:t>
      </w: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olor w:val="auto"/>
          <w:sz w:val="24"/>
          <w:szCs w:val="24"/>
        </w:rPr>
        <w:t xml:space="preserve"> 电话：</w:t>
      </w:r>
      <w:r>
        <w:rPr>
          <w:rFonts w:hint="eastAsia" w:ascii="宋体" w:hAnsi="宋体"/>
          <w:color w:val="auto"/>
          <w:sz w:val="24"/>
          <w:szCs w:val="24"/>
          <w:u w:val="single"/>
        </w:rPr>
        <w:t xml:space="preserve">              </w:t>
      </w:r>
    </w:p>
    <w:p>
      <w:pPr>
        <w:wordWrap w:val="0"/>
        <w:spacing w:line="360" w:lineRule="auto"/>
        <w:rPr>
          <w:rFonts w:ascii="宋体" w:hAnsi="宋体"/>
          <w:color w:val="auto"/>
          <w:sz w:val="24"/>
          <w:szCs w:val="24"/>
        </w:rPr>
      </w:pPr>
      <w:r>
        <w:rPr>
          <w:rFonts w:hint="eastAsia" w:ascii="宋体" w:hAnsi="宋体"/>
          <w:color w:val="auto"/>
          <w:sz w:val="24"/>
          <w:szCs w:val="24"/>
        </w:rPr>
        <w:t>电子信箱：</w:t>
      </w:r>
      <w:r>
        <w:rPr>
          <w:rFonts w:hint="eastAsia" w:ascii="宋体" w:hAnsi="宋体"/>
          <w:color w:val="auto"/>
          <w:sz w:val="24"/>
          <w:szCs w:val="24"/>
          <w:u w:val="single"/>
        </w:rPr>
        <w:t xml:space="preserve">              </w:t>
      </w:r>
    </w:p>
    <w:p>
      <w:pPr>
        <w:wordWrap w:val="0"/>
        <w:spacing w:line="360" w:lineRule="auto"/>
        <w:rPr>
          <w:rFonts w:ascii="宋体" w:hAnsi="宋体"/>
          <w:color w:val="auto"/>
          <w:sz w:val="24"/>
          <w:szCs w:val="24"/>
        </w:rPr>
      </w:pPr>
    </w:p>
    <w:p>
      <w:pPr>
        <w:wordWrap w:val="0"/>
        <w:spacing w:line="360" w:lineRule="auto"/>
        <w:rPr>
          <w:rFonts w:ascii="宋体" w:hAnsi="宋体"/>
          <w:b/>
          <w:bCs/>
          <w:color w:val="auto"/>
          <w:sz w:val="24"/>
          <w:szCs w:val="24"/>
        </w:rPr>
      </w:pPr>
      <w:r>
        <w:rPr>
          <w:rFonts w:hint="eastAsia" w:ascii="宋体" w:hAnsi="宋体"/>
          <w:b/>
          <w:bCs/>
          <w:color w:val="auto"/>
          <w:sz w:val="24"/>
          <w:szCs w:val="24"/>
        </w:rPr>
        <w:t>附：法定代表人身份证复印件、被授权代表人身份证复印件</w:t>
      </w:r>
    </w:p>
    <w:p>
      <w:pPr>
        <w:wordWrap w:val="0"/>
        <w:spacing w:line="360" w:lineRule="auto"/>
        <w:rPr>
          <w:rFonts w:ascii="宋体" w:hAnsi="宋体"/>
          <w:color w:val="auto"/>
          <w:sz w:val="24"/>
          <w:szCs w:val="24"/>
        </w:rPr>
      </w:pPr>
    </w:p>
    <w:p>
      <w:pPr>
        <w:wordWrap w:val="0"/>
        <w:spacing w:line="360" w:lineRule="auto"/>
        <w:ind w:firstLine="4095" w:firstLineChars="1700"/>
        <w:rPr>
          <w:rFonts w:ascii="宋体" w:hAnsi="宋体"/>
          <w:b/>
          <w:bCs/>
          <w:color w:val="auto"/>
          <w:sz w:val="24"/>
          <w:szCs w:val="24"/>
        </w:rPr>
      </w:pPr>
      <w:r>
        <w:rPr>
          <w:rFonts w:hint="eastAsia" w:ascii="宋体" w:hAnsi="宋体"/>
          <w:b/>
          <w:bCs/>
          <w:color w:val="auto"/>
          <w:sz w:val="24"/>
          <w:szCs w:val="24"/>
        </w:rPr>
        <w:t>授权方</w:t>
      </w:r>
    </w:p>
    <w:p>
      <w:pPr>
        <w:wordWrap w:val="0"/>
        <w:spacing w:line="360" w:lineRule="auto"/>
        <w:ind w:firstLine="4095" w:firstLineChars="1700"/>
        <w:rPr>
          <w:rFonts w:ascii="宋体" w:hAnsi="宋体"/>
          <w:color w:val="auto"/>
          <w:sz w:val="24"/>
          <w:szCs w:val="24"/>
        </w:rPr>
      </w:pPr>
      <w:r>
        <w:rPr>
          <w:rFonts w:hint="eastAsia" w:ascii="宋体" w:hAnsi="宋体"/>
          <w:b/>
          <w:color w:val="auto"/>
          <w:sz w:val="24"/>
        </w:rPr>
        <w:t>报价人名称（全称并加盖公章）：</w:t>
      </w:r>
      <w:r>
        <w:rPr>
          <w:rFonts w:hint="eastAsia" w:ascii="宋体" w:hAnsi="宋体"/>
          <w:b/>
          <w:color w:val="auto"/>
          <w:sz w:val="24"/>
          <w:u w:val="single"/>
        </w:rPr>
        <w:t>　　</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wordWrap w:val="0"/>
        <w:spacing w:line="360" w:lineRule="auto"/>
        <w:ind w:firstLine="4080" w:firstLineChars="1700"/>
        <w:rPr>
          <w:rFonts w:ascii="宋体" w:hAnsi="宋体"/>
          <w:color w:val="auto"/>
          <w:sz w:val="24"/>
          <w:szCs w:val="24"/>
        </w:rPr>
      </w:pPr>
      <w:r>
        <w:rPr>
          <w:rFonts w:hint="eastAsia" w:ascii="宋体" w:hAnsi="宋体"/>
          <w:color w:val="auto"/>
          <w:sz w:val="24"/>
          <w:szCs w:val="24"/>
        </w:rPr>
        <w:t>日     期：</w:t>
      </w:r>
    </w:p>
    <w:p>
      <w:pPr>
        <w:wordWrap w:val="0"/>
        <w:spacing w:line="360" w:lineRule="auto"/>
        <w:rPr>
          <w:rFonts w:ascii="宋体" w:hAnsi="宋体"/>
          <w:color w:val="auto"/>
          <w:sz w:val="24"/>
          <w:szCs w:val="24"/>
        </w:rPr>
      </w:pPr>
    </w:p>
    <w:p>
      <w:pPr>
        <w:wordWrap w:val="0"/>
        <w:spacing w:line="360" w:lineRule="auto"/>
        <w:ind w:firstLine="4095" w:firstLineChars="1700"/>
        <w:rPr>
          <w:rFonts w:ascii="宋体" w:hAnsi="宋体"/>
          <w:b/>
          <w:bCs/>
          <w:color w:val="auto"/>
          <w:sz w:val="24"/>
          <w:szCs w:val="24"/>
        </w:rPr>
      </w:pPr>
      <w:r>
        <w:rPr>
          <w:rFonts w:hint="eastAsia" w:ascii="宋体" w:hAnsi="宋体"/>
          <w:b/>
          <w:bCs/>
          <w:color w:val="auto"/>
          <w:sz w:val="24"/>
          <w:szCs w:val="24"/>
        </w:rPr>
        <w:t>接受授权方</w:t>
      </w:r>
    </w:p>
    <w:p>
      <w:pPr>
        <w:wordWrap w:val="0"/>
        <w:spacing w:line="360" w:lineRule="auto"/>
        <w:ind w:firstLine="4080" w:firstLineChars="1700"/>
        <w:rPr>
          <w:rFonts w:ascii="宋体" w:hAnsi="宋体"/>
          <w:color w:val="auto"/>
          <w:sz w:val="24"/>
          <w:szCs w:val="24"/>
        </w:rPr>
      </w:pPr>
      <w:r>
        <w:rPr>
          <w:rFonts w:hint="eastAsia" w:ascii="宋体" w:hAnsi="宋体"/>
          <w:color w:val="auto"/>
          <w:sz w:val="24"/>
          <w:szCs w:val="24"/>
        </w:rPr>
        <w:t>报价人代表签字：</w:t>
      </w:r>
      <w:r>
        <w:rPr>
          <w:rFonts w:hint="eastAsia" w:ascii="宋体" w:hAnsi="宋体"/>
          <w:color w:val="auto"/>
          <w:sz w:val="24"/>
          <w:szCs w:val="24"/>
          <w:u w:val="single"/>
        </w:rPr>
        <w:t xml:space="preserve">                </w:t>
      </w:r>
    </w:p>
    <w:p>
      <w:pPr>
        <w:wordWrap w:val="0"/>
        <w:spacing w:line="360" w:lineRule="auto"/>
        <w:ind w:firstLine="4080" w:firstLineChars="1700"/>
        <w:rPr>
          <w:rFonts w:ascii="宋体" w:hAnsi="宋体"/>
          <w:color w:val="auto"/>
          <w:sz w:val="24"/>
          <w:szCs w:val="24"/>
        </w:rPr>
      </w:pPr>
      <w:r>
        <w:rPr>
          <w:rFonts w:hint="eastAsia" w:ascii="宋体" w:hAnsi="宋体"/>
          <w:color w:val="auto"/>
          <w:sz w:val="24"/>
          <w:szCs w:val="24"/>
        </w:rPr>
        <w:t>日     期：</w:t>
      </w:r>
    </w:p>
    <w:p>
      <w:pPr>
        <w:pStyle w:val="4"/>
        <w:pageBreakBefore/>
        <w:wordWrap w:val="0"/>
        <w:spacing w:line="360" w:lineRule="auto"/>
        <w:ind w:left="210"/>
        <w:jc w:val="center"/>
        <w:rPr>
          <w:rFonts w:ascii="宋体" w:hAnsi="宋体"/>
          <w:color w:val="auto"/>
          <w:sz w:val="28"/>
        </w:rPr>
      </w:pPr>
      <w:bookmarkStart w:id="414" w:name="_Toc115273194"/>
      <w:r>
        <w:rPr>
          <w:rFonts w:hint="eastAsia" w:ascii="宋体" w:hAnsi="宋体"/>
          <w:color w:val="auto"/>
          <w:sz w:val="28"/>
        </w:rPr>
        <w:t>（4）营业执照等证明文件</w:t>
      </w:r>
      <w:bookmarkEnd w:id="414"/>
    </w:p>
    <w:p>
      <w:pPr>
        <w:pStyle w:val="27"/>
        <w:shd w:val="clear" w:color="auto" w:fill="FFFFFF"/>
        <w:wordWrap w:val="0"/>
        <w:spacing w:after="150" w:line="360" w:lineRule="auto"/>
        <w:rPr>
          <w:rFonts w:ascii="宋体" w:hAnsi="宋体"/>
          <w:color w:val="auto"/>
        </w:rPr>
      </w:pPr>
      <w:r>
        <w:rPr>
          <w:rFonts w:hint="eastAsia" w:ascii="宋体" w:hAnsi="宋体"/>
          <w:color w:val="auto"/>
        </w:rPr>
        <w:t>致：</w:t>
      </w:r>
      <w:r>
        <w:rPr>
          <w:rFonts w:hint="eastAsia" w:ascii="宋体" w:hAnsi="宋体"/>
          <w:color w:val="auto"/>
          <w:u w:val="single"/>
        </w:rPr>
        <w:t>            （采购人或采购代理机构） </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 ）供应商为法人（包括企业、事业单位和社会团体）的</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现附上由</w:t>
      </w:r>
      <w:r>
        <w:rPr>
          <w:rFonts w:hint="eastAsia" w:ascii="宋体" w:hAnsi="宋体"/>
          <w:color w:val="auto"/>
          <w:u w:val="single"/>
        </w:rPr>
        <w:t>（填写“签发机关全称”）</w:t>
      </w:r>
      <w:r>
        <w:rPr>
          <w:rFonts w:hint="eastAsia" w:ascii="宋体" w:hAnsi="宋体"/>
          <w:color w:val="auto"/>
        </w:rPr>
        <w:t>签发的我方统一社会信用代码</w:t>
      </w:r>
      <w:r>
        <w:rPr>
          <w:rFonts w:hint="eastAsia" w:ascii="宋体" w:hAnsi="宋体"/>
          <w:color w:val="auto"/>
          <w:u w:val="single"/>
        </w:rPr>
        <w:t>（请填写法人的具体证照名称）</w:t>
      </w:r>
      <w:r>
        <w:rPr>
          <w:rFonts w:hint="eastAsia" w:ascii="宋体" w:hAnsi="宋体"/>
          <w:color w:val="auto"/>
        </w:rPr>
        <w:t>复印件，该证明材料真实有效，否则我方负全部责任。</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 ）供应商为非法人（包括其他组织、自然人）的</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□现附上由</w:t>
      </w:r>
      <w:r>
        <w:rPr>
          <w:rFonts w:hint="eastAsia" w:ascii="宋体" w:hAnsi="宋体"/>
          <w:color w:val="auto"/>
          <w:u w:val="single"/>
        </w:rPr>
        <w:t>（填写“签发机关全称”）</w:t>
      </w:r>
      <w:r>
        <w:rPr>
          <w:rFonts w:hint="eastAsia" w:ascii="宋体" w:hAnsi="宋体"/>
          <w:color w:val="auto"/>
        </w:rPr>
        <w:t>签发的我方</w:t>
      </w:r>
      <w:r>
        <w:rPr>
          <w:rFonts w:hint="eastAsia" w:ascii="宋体" w:hAnsi="宋体"/>
          <w:color w:val="auto"/>
          <w:u w:val="single"/>
        </w:rPr>
        <w:t>（请填写非自然人的非法人的具体证照名称）</w:t>
      </w:r>
      <w:r>
        <w:rPr>
          <w:rFonts w:hint="eastAsia" w:ascii="宋体" w:hAnsi="宋体"/>
          <w:color w:val="auto"/>
        </w:rPr>
        <w:t>复印件，该证明材料真实有效，否则我方负全部责任。</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□现附上由</w:t>
      </w:r>
      <w:r>
        <w:rPr>
          <w:rFonts w:hint="eastAsia" w:ascii="宋体" w:hAnsi="宋体"/>
          <w:color w:val="auto"/>
          <w:u w:val="single"/>
        </w:rPr>
        <w:t>（填写“签发机关全称”）</w:t>
      </w:r>
      <w:r>
        <w:rPr>
          <w:rFonts w:hint="eastAsia" w:ascii="宋体" w:hAnsi="宋体"/>
          <w:color w:val="auto"/>
        </w:rPr>
        <w:t>签发的我方</w:t>
      </w:r>
      <w:r>
        <w:rPr>
          <w:rFonts w:hint="eastAsia" w:ascii="宋体" w:hAnsi="宋体"/>
          <w:color w:val="auto"/>
          <w:u w:val="single"/>
        </w:rPr>
        <w:t>（请填写自然人的身份证件名称）</w:t>
      </w:r>
      <w:bookmarkStart w:id="499" w:name="_GoBack"/>
      <w:bookmarkEnd w:id="499"/>
      <w:r>
        <w:rPr>
          <w:rFonts w:hint="eastAsia" w:ascii="宋体" w:hAnsi="宋体"/>
          <w:color w:val="auto"/>
        </w:rPr>
        <w:t>复印件，该证明材料真实有效，否则我方负全部责任。</w:t>
      </w:r>
    </w:p>
    <w:p>
      <w:pPr>
        <w:pStyle w:val="27"/>
        <w:shd w:val="clear" w:color="auto" w:fill="FFFFFF"/>
        <w:wordWrap w:val="0"/>
        <w:spacing w:line="360" w:lineRule="auto"/>
        <w:rPr>
          <w:rFonts w:ascii="宋体" w:hAnsi="宋体"/>
          <w:color w:val="auto"/>
        </w:rPr>
      </w:pPr>
      <w:r>
        <w:rPr>
          <w:rFonts w:ascii="宋体" w:hAnsi="宋体" w:cs="Calibri"/>
          <w:color w:val="auto"/>
        </w:rPr>
        <w:t> </w:t>
      </w:r>
    </w:p>
    <w:p>
      <w:pPr>
        <w:pStyle w:val="27"/>
        <w:shd w:val="clear" w:color="auto" w:fill="FFFFFF"/>
        <w:wordWrap w:val="0"/>
        <w:spacing w:line="360" w:lineRule="auto"/>
        <w:rPr>
          <w:rFonts w:ascii="宋体" w:hAnsi="宋体"/>
          <w:color w:val="auto"/>
          <w:sz w:val="22"/>
          <w:szCs w:val="22"/>
        </w:rPr>
      </w:pPr>
      <w:r>
        <w:rPr>
          <w:rFonts w:hint="eastAsia" w:ascii="宋体" w:hAnsi="宋体"/>
          <w:color w:val="auto"/>
          <w:sz w:val="22"/>
          <w:szCs w:val="22"/>
        </w:rPr>
        <w:t>※注意：</w:t>
      </w:r>
    </w:p>
    <w:p>
      <w:pPr>
        <w:pStyle w:val="27"/>
        <w:shd w:val="clear" w:color="auto" w:fill="FFFFFF"/>
        <w:wordWrap w:val="0"/>
        <w:spacing w:line="360" w:lineRule="auto"/>
        <w:rPr>
          <w:rFonts w:ascii="宋体" w:hAnsi="宋体"/>
          <w:color w:val="auto"/>
          <w:sz w:val="22"/>
          <w:szCs w:val="22"/>
        </w:rPr>
      </w:pPr>
      <w:r>
        <w:rPr>
          <w:rFonts w:hint="eastAsia" w:ascii="宋体" w:hAnsi="宋体"/>
          <w:color w:val="auto"/>
          <w:sz w:val="22"/>
          <w:szCs w:val="22"/>
        </w:rPr>
        <w:t>1、请供应商按照实际情况编制填写，在相应的（）中打“√”并选择相应的“□”（若有）后，再按照本格式的要求提供相应证明材料的复印件。</w:t>
      </w:r>
    </w:p>
    <w:p>
      <w:pPr>
        <w:pStyle w:val="27"/>
        <w:shd w:val="clear" w:color="auto" w:fill="FFFFFF"/>
        <w:wordWrap w:val="0"/>
        <w:spacing w:line="360" w:lineRule="auto"/>
        <w:rPr>
          <w:rFonts w:ascii="宋体" w:hAnsi="宋体"/>
          <w:color w:val="auto"/>
          <w:sz w:val="22"/>
          <w:szCs w:val="22"/>
        </w:rPr>
      </w:pPr>
      <w:r>
        <w:rPr>
          <w:rFonts w:hint="eastAsia" w:ascii="宋体" w:hAnsi="宋体"/>
          <w:color w:val="auto"/>
          <w:sz w:val="22"/>
          <w:szCs w:val="2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7"/>
        <w:shd w:val="clear" w:color="auto" w:fill="FFFFFF"/>
        <w:wordWrap w:val="0"/>
        <w:spacing w:line="360" w:lineRule="auto"/>
        <w:rPr>
          <w:rFonts w:ascii="宋体" w:hAnsi="宋体"/>
          <w:color w:val="auto"/>
        </w:rPr>
      </w:pPr>
      <w:r>
        <w:rPr>
          <w:rFonts w:ascii="宋体" w:hAnsi="宋体" w:cs="Calibri"/>
          <w:color w:val="auto"/>
        </w:rPr>
        <w:t>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27"/>
        <w:shd w:val="clear" w:color="auto" w:fill="FFFFFF"/>
        <w:wordWrap w:val="0"/>
        <w:spacing w:after="150" w:line="360" w:lineRule="auto"/>
        <w:rPr>
          <w:rFonts w:ascii="宋体" w:hAnsi="宋体"/>
          <w:color w:val="auto"/>
        </w:rPr>
      </w:pPr>
      <w:r>
        <w:rPr>
          <w:rFonts w:hint="eastAsia" w:ascii="宋体" w:hAnsi="宋体"/>
          <w:color w:val="auto"/>
        </w:rPr>
        <w:t> </w:t>
      </w:r>
    </w:p>
    <w:p>
      <w:pPr>
        <w:pStyle w:val="4"/>
        <w:pageBreakBefore/>
        <w:wordWrap w:val="0"/>
        <w:spacing w:line="360" w:lineRule="auto"/>
        <w:ind w:left="210"/>
        <w:jc w:val="center"/>
        <w:rPr>
          <w:rFonts w:ascii="宋体" w:hAnsi="宋体"/>
          <w:color w:val="auto"/>
          <w:sz w:val="28"/>
        </w:rPr>
      </w:pPr>
      <w:bookmarkStart w:id="415" w:name="_Toc115273195"/>
      <w:r>
        <w:rPr>
          <w:rFonts w:hint="eastAsia" w:ascii="宋体" w:hAnsi="宋体"/>
          <w:color w:val="auto"/>
          <w:sz w:val="28"/>
        </w:rPr>
        <w:t>（5）具备履行合同所必需设备和专业技术能力的声明函</w:t>
      </w:r>
      <w:bookmarkEnd w:id="415"/>
    </w:p>
    <w:p>
      <w:pPr>
        <w:pStyle w:val="27"/>
        <w:shd w:val="clear" w:color="auto" w:fill="FFFFFF"/>
        <w:wordWrap w:val="0"/>
        <w:spacing w:line="360" w:lineRule="auto"/>
        <w:rPr>
          <w:rFonts w:ascii="宋体" w:hAnsi="宋体"/>
          <w:color w:val="auto"/>
        </w:rPr>
      </w:pPr>
      <w:r>
        <w:rPr>
          <w:rFonts w:hint="eastAsia" w:ascii="宋体" w:hAnsi="宋体"/>
          <w:color w:val="auto"/>
        </w:rPr>
        <w:t>致：</w:t>
      </w:r>
      <w:r>
        <w:rPr>
          <w:rFonts w:hint="eastAsia" w:ascii="宋体" w:hAnsi="宋体"/>
          <w:color w:val="auto"/>
          <w:u w:val="single"/>
        </w:rPr>
        <w:t>           （采购人或采购代理机构） </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我方具备履行合同所必需的设备和专业技术能力，否则产生不利后果由我方承担责任。</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特此声明。</w:t>
      </w:r>
    </w:p>
    <w:p>
      <w:pPr>
        <w:pStyle w:val="27"/>
        <w:shd w:val="clear" w:color="auto" w:fill="FFFFFF"/>
        <w:wordWrap w:val="0"/>
        <w:spacing w:line="360" w:lineRule="auto"/>
        <w:rPr>
          <w:rFonts w:ascii="宋体" w:hAnsi="宋体"/>
          <w:color w:val="auto"/>
        </w:rPr>
      </w:pPr>
      <w:r>
        <w:rPr>
          <w:rFonts w:ascii="宋体" w:hAnsi="宋体" w:cs="Calibri"/>
          <w:color w:val="auto"/>
        </w:rPr>
        <w:t> </w:t>
      </w:r>
    </w:p>
    <w:p>
      <w:pPr>
        <w:pStyle w:val="27"/>
        <w:shd w:val="clear" w:color="auto" w:fill="FFFFFF"/>
        <w:wordWrap w:val="0"/>
        <w:spacing w:after="150" w:line="360" w:lineRule="auto"/>
        <w:rPr>
          <w:rFonts w:ascii="宋体" w:hAnsi="宋体" w:cs="Calibri"/>
          <w:color w:val="auto"/>
        </w:rPr>
      </w:pPr>
      <w:r>
        <w:rPr>
          <w:rFonts w:ascii="宋体" w:hAnsi="宋体" w:cs="Calibri"/>
          <w:color w:val="auto"/>
        </w:rPr>
        <w:t>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27"/>
        <w:shd w:val="clear" w:color="auto" w:fill="FFFFFF"/>
        <w:wordWrap w:val="0"/>
        <w:spacing w:line="360" w:lineRule="auto"/>
        <w:rPr>
          <w:rFonts w:ascii="宋体" w:hAnsi="宋体"/>
          <w:color w:val="auto"/>
        </w:rPr>
      </w:pPr>
      <w:r>
        <w:rPr>
          <w:rFonts w:hint="eastAsia" w:ascii="宋体" w:hAnsi="宋体"/>
          <w:color w:val="auto"/>
        </w:rPr>
        <w:t> </w:t>
      </w:r>
    </w:p>
    <w:p>
      <w:pPr>
        <w:pStyle w:val="27"/>
        <w:shd w:val="clear" w:color="auto" w:fill="FFFFFF"/>
        <w:wordWrap w:val="0"/>
        <w:spacing w:line="360" w:lineRule="auto"/>
        <w:rPr>
          <w:rFonts w:ascii="宋体" w:hAnsi="宋体"/>
          <w:color w:val="auto"/>
        </w:rPr>
      </w:pPr>
      <w:r>
        <w:rPr>
          <w:rFonts w:hint="eastAsia" w:ascii="宋体" w:hAnsi="宋体"/>
          <w:color w:val="auto"/>
        </w:rPr>
        <w:t> </w:t>
      </w:r>
    </w:p>
    <w:p>
      <w:pPr>
        <w:pStyle w:val="4"/>
        <w:pageBreakBefore/>
        <w:wordWrap w:val="0"/>
        <w:spacing w:line="360" w:lineRule="auto"/>
        <w:ind w:left="210"/>
        <w:jc w:val="center"/>
        <w:rPr>
          <w:rFonts w:ascii="宋体" w:hAnsi="宋体"/>
          <w:color w:val="auto"/>
          <w:sz w:val="28"/>
        </w:rPr>
      </w:pPr>
      <w:bookmarkStart w:id="416" w:name="_Toc115273196"/>
      <w:r>
        <w:rPr>
          <w:rFonts w:hint="eastAsia" w:ascii="宋体" w:hAnsi="宋体"/>
          <w:color w:val="auto"/>
          <w:sz w:val="28"/>
        </w:rPr>
        <w:t>（6）参加采购活动前三年内在经营活动中没有重大违法记录书面声明</w:t>
      </w:r>
      <w:bookmarkEnd w:id="416"/>
    </w:p>
    <w:p>
      <w:pPr>
        <w:pStyle w:val="27"/>
        <w:shd w:val="clear" w:color="auto" w:fill="FFFFFF"/>
        <w:wordWrap w:val="0"/>
        <w:spacing w:line="360" w:lineRule="auto"/>
        <w:rPr>
          <w:rFonts w:ascii="宋体" w:hAnsi="宋体"/>
          <w:color w:val="auto"/>
        </w:rPr>
      </w:pPr>
      <w:r>
        <w:rPr>
          <w:rFonts w:hint="eastAsia" w:ascii="宋体" w:hAnsi="宋体"/>
          <w:color w:val="auto"/>
        </w:rPr>
        <w:t> 致：</w:t>
      </w:r>
      <w:r>
        <w:rPr>
          <w:rFonts w:hint="eastAsia" w:ascii="宋体" w:hAnsi="宋体"/>
          <w:color w:val="auto"/>
          <w:u w:val="single"/>
        </w:rPr>
        <w:t>           （采购人或采购代理机构） </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7"/>
        <w:shd w:val="clear" w:color="auto" w:fill="FFFFFF"/>
        <w:wordWrap w:val="0"/>
        <w:spacing w:line="360" w:lineRule="auto"/>
        <w:ind w:firstLine="420"/>
        <w:rPr>
          <w:rFonts w:ascii="宋体" w:hAnsi="宋体"/>
          <w:color w:val="auto"/>
        </w:rPr>
      </w:pPr>
      <w:r>
        <w:rPr>
          <w:rFonts w:hint="eastAsia" w:ascii="宋体" w:hAnsi="宋体"/>
          <w:color w:val="auto"/>
        </w:rPr>
        <w:t>特此声明。</w:t>
      </w:r>
    </w:p>
    <w:p>
      <w:pPr>
        <w:pStyle w:val="27"/>
        <w:shd w:val="clear" w:color="auto" w:fill="FFFFFF"/>
        <w:wordWrap w:val="0"/>
        <w:spacing w:line="360" w:lineRule="auto"/>
        <w:rPr>
          <w:rFonts w:ascii="宋体" w:hAnsi="宋体"/>
          <w:color w:val="auto"/>
        </w:rPr>
      </w:pPr>
      <w:r>
        <w:rPr>
          <w:rFonts w:ascii="宋体" w:hAnsi="宋体" w:cs="Calibri"/>
          <w:color w:val="auto"/>
        </w:rPr>
        <w:t> </w:t>
      </w:r>
    </w:p>
    <w:p>
      <w:pPr>
        <w:pStyle w:val="27"/>
        <w:shd w:val="clear" w:color="auto" w:fill="FFFFFF"/>
        <w:wordWrap w:val="0"/>
        <w:spacing w:after="150" w:line="360" w:lineRule="auto"/>
        <w:rPr>
          <w:rFonts w:ascii="宋体" w:hAnsi="宋体" w:cs="Calibri"/>
          <w:color w:val="auto"/>
        </w:rPr>
      </w:pPr>
      <w:r>
        <w:rPr>
          <w:rFonts w:ascii="宋体" w:hAnsi="宋体" w:cs="Calibri"/>
          <w:color w:val="auto"/>
        </w:rPr>
        <w:t>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73"/>
        <w:wordWrap w:val="0"/>
        <w:spacing w:line="360" w:lineRule="auto"/>
        <w:jc w:val="center"/>
        <w:rPr>
          <w:rFonts w:ascii="宋体" w:hAnsi="宋体"/>
          <w:b/>
          <w:bCs w:val="0"/>
          <w:color w:val="auto"/>
          <w:sz w:val="32"/>
          <w:szCs w:val="32"/>
        </w:rPr>
      </w:pPr>
      <w:r>
        <w:rPr>
          <w:rFonts w:hint="eastAsia" w:ascii="宋体" w:hAnsi="宋体"/>
          <w:color w:val="auto"/>
          <w:szCs w:val="24"/>
        </w:rPr>
        <w:t> </w:t>
      </w:r>
    </w:p>
    <w:p>
      <w:pPr>
        <w:pStyle w:val="73"/>
        <w:wordWrap w:val="0"/>
        <w:spacing w:line="360" w:lineRule="auto"/>
        <w:rPr>
          <w:rFonts w:ascii="宋体" w:hAnsi="宋体"/>
          <w:b/>
          <w:bCs w:val="0"/>
          <w:color w:val="auto"/>
          <w:sz w:val="32"/>
          <w:szCs w:val="32"/>
        </w:rPr>
      </w:pPr>
    </w:p>
    <w:p>
      <w:pPr>
        <w:pStyle w:val="4"/>
        <w:pageBreakBefore/>
        <w:wordWrap w:val="0"/>
        <w:spacing w:line="360" w:lineRule="auto"/>
        <w:ind w:left="210"/>
        <w:jc w:val="center"/>
        <w:rPr>
          <w:rFonts w:ascii="宋体" w:hAnsi="宋体"/>
          <w:color w:val="auto"/>
          <w:sz w:val="28"/>
        </w:rPr>
      </w:pPr>
      <w:bookmarkStart w:id="417" w:name="_Toc115273197"/>
      <w:r>
        <w:rPr>
          <w:rFonts w:hint="eastAsia" w:ascii="宋体" w:hAnsi="宋体"/>
          <w:color w:val="auto"/>
          <w:sz w:val="28"/>
        </w:rPr>
        <w:t>（7）资格承诺函</w:t>
      </w:r>
      <w:bookmarkEnd w:id="417"/>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i/>
          <w:color w:val="auto"/>
          <w:sz w:val="24"/>
          <w:szCs w:val="24"/>
          <w:u w:val="single"/>
        </w:rPr>
        <w:t>（采购人、采购代理机构）</w:t>
      </w:r>
      <w:r>
        <w:rPr>
          <w:rFonts w:hint="eastAsia" w:ascii="宋体" w:hAnsi="宋体" w:cs="宋体"/>
          <w:color w:val="auto"/>
          <w:sz w:val="24"/>
          <w:szCs w:val="24"/>
          <w:u w:val="single"/>
        </w:rPr>
        <w:t xml:space="preserve">    </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我单位参与</w:t>
      </w:r>
      <w:r>
        <w:rPr>
          <w:rFonts w:hint="eastAsia" w:ascii="宋体" w:hAnsi="宋体" w:cs="宋体"/>
          <w:color w:val="auto"/>
          <w:sz w:val="24"/>
          <w:szCs w:val="24"/>
          <w:u w:val="single"/>
        </w:rPr>
        <w:t xml:space="preserve">  （</w:t>
      </w:r>
      <w:r>
        <w:rPr>
          <w:rFonts w:hint="eastAsia" w:ascii="宋体" w:hAnsi="宋体" w:cs="宋体"/>
          <w:i/>
          <w:color w:val="auto"/>
          <w:sz w:val="24"/>
          <w:szCs w:val="24"/>
          <w:u w:val="single"/>
        </w:rPr>
        <w:t>项目名称</w:t>
      </w:r>
      <w:r>
        <w:rPr>
          <w:rFonts w:hint="eastAsia" w:ascii="宋体" w:hAnsi="宋体" w:cs="宋体"/>
          <w:color w:val="auto"/>
          <w:sz w:val="24"/>
          <w:szCs w:val="24"/>
          <w:u w:val="single"/>
        </w:rPr>
        <w:t>）  （项目编号：    ）</w:t>
      </w:r>
      <w:r>
        <w:rPr>
          <w:rFonts w:hint="eastAsia" w:ascii="宋体" w:hAnsi="宋体" w:cs="宋体"/>
          <w:color w:val="auto"/>
          <w:sz w:val="24"/>
          <w:szCs w:val="24"/>
        </w:rPr>
        <w:t>项目的政府采购活动，现承诺如下：</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1.我单位具有符合采购文件资格要求的财务状况报告。</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2.我单位具有符合采购文件资格要求的依法缴纳税收的相关证明材料。</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3.我单位具有符合采购文件资格要求的依法缴纳社会保障资金的相关证明材料。</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若我单位承诺不实，自愿承担提供虚假材料谋取中标、成交的法律责任。</w:t>
      </w:r>
    </w:p>
    <w:p>
      <w:pPr>
        <w:wordWrap w:val="0"/>
        <w:spacing w:line="360" w:lineRule="auto"/>
        <w:ind w:firstLine="480" w:firstLineChars="200"/>
        <w:rPr>
          <w:rFonts w:ascii="宋体" w:hAnsi="宋体" w:cs="宋体"/>
          <w:color w:val="auto"/>
          <w:sz w:val="24"/>
          <w:szCs w:val="24"/>
        </w:rPr>
      </w:pPr>
    </w:p>
    <w:p>
      <w:pPr>
        <w:wordWrap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承诺供应商（全称并加盖公章）：</w:t>
      </w:r>
      <w:r>
        <w:rPr>
          <w:rFonts w:hint="eastAsia" w:ascii="宋体" w:hAnsi="宋体" w:cs="宋体"/>
          <w:color w:val="auto"/>
          <w:sz w:val="24"/>
          <w:szCs w:val="24"/>
          <w:u w:val="single"/>
        </w:rPr>
        <w:t xml:space="preserve">              </w:t>
      </w:r>
    </w:p>
    <w:p>
      <w:pPr>
        <w:wordWrap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单位负责人或授权代表（签字）：</w:t>
      </w:r>
      <w:r>
        <w:rPr>
          <w:rFonts w:hint="eastAsia" w:ascii="宋体" w:hAnsi="宋体" w:cs="宋体"/>
          <w:color w:val="auto"/>
          <w:sz w:val="24"/>
          <w:szCs w:val="24"/>
          <w:u w:val="single"/>
        </w:rPr>
        <w:t xml:space="preserve">              </w:t>
      </w:r>
    </w:p>
    <w:p>
      <w:pPr>
        <w:wordWrap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w:t>
      </w:r>
    </w:p>
    <w:p>
      <w:pPr>
        <w:wordWrap w:val="0"/>
        <w:spacing w:line="360" w:lineRule="auto"/>
        <w:rPr>
          <w:rFonts w:ascii="宋体" w:hAnsi="宋体" w:cs="宋体"/>
          <w:color w:val="auto"/>
          <w:sz w:val="24"/>
          <w:szCs w:val="24"/>
        </w:rPr>
      </w:pPr>
      <w:r>
        <w:rPr>
          <w:rFonts w:hint="eastAsia" w:ascii="宋体" w:hAnsi="宋体" w:cs="宋体"/>
          <w:color w:val="auto"/>
          <w:sz w:val="24"/>
          <w:szCs w:val="24"/>
        </w:rPr>
        <w:t>说明：1.供应商可自行选择是否提供本承诺函，若不提供本承诺函的，应按采购文件要求提供相应的证明材料。</w:t>
      </w:r>
    </w:p>
    <w:p>
      <w:pPr>
        <w:wordWrap w:val="0"/>
        <w:spacing w:line="360" w:lineRule="auto"/>
        <w:rPr>
          <w:rFonts w:ascii="宋体" w:hAnsi="宋体" w:cs="宋体"/>
          <w:color w:val="auto"/>
          <w:sz w:val="24"/>
          <w:szCs w:val="24"/>
        </w:rPr>
      </w:pPr>
      <w:r>
        <w:rPr>
          <w:rFonts w:hint="eastAsia" w:ascii="宋体" w:hAnsi="宋体" w:cs="宋体"/>
          <w:color w:val="auto"/>
          <w:sz w:val="24"/>
          <w:szCs w:val="24"/>
        </w:rPr>
        <w:t>2.供应商可删减承诺事项，如删去承诺第1项的，则应按采购文件要求提供财务状况报告。</w:t>
      </w:r>
    </w:p>
    <w:p>
      <w:pPr>
        <w:pStyle w:val="4"/>
        <w:pageBreakBefore/>
        <w:wordWrap w:val="0"/>
        <w:spacing w:line="360" w:lineRule="auto"/>
        <w:ind w:left="210"/>
        <w:jc w:val="center"/>
        <w:rPr>
          <w:rFonts w:ascii="宋体" w:hAnsi="宋体"/>
          <w:color w:val="auto"/>
          <w:sz w:val="28"/>
        </w:rPr>
      </w:pPr>
      <w:bookmarkStart w:id="418" w:name="_Toc115273198"/>
      <w:r>
        <w:rPr>
          <w:rFonts w:hint="eastAsia" w:ascii="宋体" w:hAnsi="宋体"/>
          <w:color w:val="auto"/>
          <w:sz w:val="28"/>
        </w:rPr>
        <w:t>（8）带“★”号条款逐条响应情况表</w:t>
      </w:r>
    </w:p>
    <w:p>
      <w:pPr>
        <w:wordWrap w:val="0"/>
        <w:spacing w:line="360" w:lineRule="auto"/>
        <w:ind w:firstLine="480" w:firstLineChars="200"/>
        <w:rPr>
          <w:rFonts w:ascii="宋体" w:hAnsi="宋体"/>
          <w:color w:val="auto"/>
          <w:sz w:val="24"/>
          <w:szCs w:val="24"/>
        </w:rPr>
      </w:pPr>
      <w:r>
        <w:rPr>
          <w:rFonts w:hint="eastAsia" w:ascii="宋体" w:hAnsi="宋体" w:cs="宋体"/>
          <w:color w:val="auto"/>
          <w:sz w:val="24"/>
          <w:szCs w:val="24"/>
        </w:rPr>
        <w:t>项目名称：</w:t>
      </w:r>
      <w:r>
        <w:rPr>
          <w:rFonts w:hint="eastAsia" w:ascii="宋体" w:hAnsi="宋体"/>
          <w:color w:val="auto"/>
          <w:sz w:val="24"/>
          <w:szCs w:val="24"/>
          <w:u w:val="single"/>
        </w:rPr>
        <w:t xml:space="preserve">                         </w:t>
      </w:r>
      <w:r>
        <w:rPr>
          <w:rFonts w:hint="eastAsia" w:ascii="宋体" w:hAnsi="宋体"/>
          <w:color w:val="auto"/>
          <w:sz w:val="24"/>
          <w:szCs w:val="24"/>
        </w:rPr>
        <w:t>项目编号</w:t>
      </w:r>
      <w:r>
        <w:rPr>
          <w:rFonts w:hint="eastAsia" w:ascii="宋体" w:hAnsi="宋体" w:cs="宋体"/>
          <w:color w:val="auto"/>
          <w:sz w:val="24"/>
          <w:szCs w:val="24"/>
        </w:rPr>
        <w:t>：</w:t>
      </w:r>
      <w:r>
        <w:rPr>
          <w:rFonts w:hint="eastAsia" w:ascii="宋体" w:hAnsi="宋体"/>
          <w:color w:val="auto"/>
          <w:sz w:val="24"/>
          <w:szCs w:val="24"/>
          <w:u w:val="single"/>
        </w:rPr>
        <w:t xml:space="preserve">                </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
        <w:gridCol w:w="4562"/>
        <w:gridCol w:w="1335"/>
        <w:gridCol w:w="18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968" w:type="dxa"/>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4562" w:type="dxa"/>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磋商文件中带“★”号的条款</w:t>
            </w:r>
          </w:p>
        </w:tc>
        <w:tc>
          <w:tcPr>
            <w:tcW w:w="1335" w:type="dxa"/>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磋商</w:t>
            </w:r>
            <w:r>
              <w:rPr>
                <w:rFonts w:ascii="宋体" w:hAnsi="宋体"/>
                <w:color w:val="auto"/>
                <w:sz w:val="24"/>
                <w:szCs w:val="24"/>
              </w:rPr>
              <w:t>响应</w:t>
            </w:r>
            <w:r>
              <w:rPr>
                <w:rFonts w:hint="eastAsia" w:ascii="宋体" w:hAnsi="宋体"/>
                <w:color w:val="auto"/>
                <w:sz w:val="24"/>
                <w:szCs w:val="24"/>
              </w:rPr>
              <w:t>内容</w:t>
            </w:r>
          </w:p>
        </w:tc>
        <w:tc>
          <w:tcPr>
            <w:tcW w:w="1899" w:type="dxa"/>
            <w:vAlign w:val="center"/>
          </w:tcPr>
          <w:p>
            <w:pPr>
              <w:wordWrap w:val="0"/>
              <w:spacing w:line="360" w:lineRule="auto"/>
              <w:jc w:val="center"/>
              <w:rPr>
                <w:rFonts w:ascii="宋体" w:hAnsi="宋体"/>
                <w:color w:val="auto"/>
                <w:sz w:val="24"/>
                <w:szCs w:val="24"/>
              </w:rPr>
            </w:pPr>
            <w:r>
              <w:rPr>
                <w:rFonts w:hint="eastAsia" w:ascii="宋体" w:hAnsi="宋体"/>
                <w:color w:val="auto"/>
                <w:sz w:val="24"/>
                <w:szCs w:val="24"/>
              </w:rPr>
              <w:t>对应磋商响应文件页码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68" w:type="dxa"/>
            <w:vAlign w:val="center"/>
          </w:tcPr>
          <w:p>
            <w:pPr>
              <w:wordWrap w:val="0"/>
              <w:spacing w:line="360" w:lineRule="auto"/>
              <w:jc w:val="center"/>
              <w:rPr>
                <w:rFonts w:hint="eastAsia" w:ascii="宋体" w:hAnsi="宋体" w:eastAsia="宋体"/>
                <w:color w:val="auto"/>
                <w:sz w:val="24"/>
                <w:szCs w:val="24"/>
                <w:lang w:val="en-US" w:eastAsia="zh-CN"/>
              </w:rPr>
            </w:pPr>
            <w:ins w:id="46" w:author="FYD" w:date="2023-05-25T16:28:41Z">
              <w:r>
                <w:rPr>
                  <w:rFonts w:hint="eastAsia" w:ascii="宋体" w:hAnsi="宋体"/>
                  <w:color w:val="auto"/>
                  <w:sz w:val="24"/>
                  <w:szCs w:val="24"/>
                  <w:lang w:val="en-US" w:eastAsia="zh-CN"/>
                </w:rPr>
                <w:t>1</w:t>
              </w:r>
            </w:ins>
          </w:p>
        </w:tc>
        <w:tc>
          <w:tcPr>
            <w:tcW w:w="4562" w:type="dxa"/>
            <w:vAlign w:val="top"/>
          </w:tcPr>
          <w:p>
            <w:pPr>
              <w:pStyle w:val="27"/>
              <w:widowControl/>
              <w:shd w:val="clear" w:color="auto" w:fill="FFFFFF"/>
              <w:wordWrap w:val="0"/>
              <w:spacing w:line="360" w:lineRule="auto"/>
              <w:rPr>
                <w:rFonts w:ascii="宋体" w:hAnsi="宋体" w:cs="宋体"/>
                <w:bCs/>
                <w:color w:val="auto"/>
                <w:kern w:val="0"/>
                <w:sz w:val="24"/>
                <w:szCs w:val="24"/>
              </w:rPr>
            </w:pPr>
            <w:r>
              <w:rPr>
                <w:rFonts w:hint="eastAsia" w:ascii="宋体" w:hAnsi="宋体" w:cs="宋体"/>
                <w:b w:val="0"/>
                <w:bCs w:val="0"/>
                <w:color w:val="auto"/>
              </w:rPr>
              <w:t>★</w:t>
            </w:r>
            <w:r>
              <w:rPr>
                <w:rFonts w:ascii="宋体" w:hAnsi="宋体" w:cs="宋体"/>
                <w:b w:val="0"/>
                <w:bCs w:val="0"/>
                <w:color w:val="auto"/>
              </w:rPr>
              <w:t xml:space="preserve">5.5 </w:t>
            </w:r>
            <w:r>
              <w:rPr>
                <w:rFonts w:hint="eastAsia" w:ascii="宋体" w:hAnsi="宋体" w:cs="宋体"/>
                <w:b w:val="0"/>
                <w:bCs w:val="0"/>
                <w:color w:val="auto"/>
              </w:rPr>
              <w:t>本次采购为费用包干制，总报价应包括：应发工资（含基本工资、加班工资、岗位、职位、绩效考核、防暑降温费、年终考核）、社保缴费（单位部分）、公积金（单位部分）、工会费、商业保险、管理费、税金、招标代理服务费等为服务本项目可能发生的一切费用。供应商一旦成交，采购人将不会对其报价做出其他补偿。</w:t>
            </w:r>
            <w:r>
              <w:rPr>
                <w:rFonts w:hint="eastAsia" w:ascii="宋体" w:hAnsi="宋体" w:cs="宋体"/>
                <w:b w:val="0"/>
                <w:bCs w:val="0"/>
                <w:color w:val="auto"/>
                <w:lang w:val="en-US" w:eastAsia="zh-CN"/>
              </w:rPr>
              <w:t>供应商应提供书面承诺函并加盖公章。</w:t>
            </w:r>
          </w:p>
        </w:tc>
        <w:tc>
          <w:tcPr>
            <w:tcW w:w="1335" w:type="dxa"/>
            <w:vAlign w:val="center"/>
          </w:tcPr>
          <w:p>
            <w:pPr>
              <w:wordWrap w:val="0"/>
              <w:spacing w:line="360" w:lineRule="auto"/>
              <w:rPr>
                <w:rFonts w:ascii="宋体" w:hAnsi="宋体"/>
                <w:color w:val="auto"/>
                <w:sz w:val="24"/>
                <w:szCs w:val="24"/>
              </w:rPr>
            </w:pPr>
          </w:p>
        </w:tc>
        <w:tc>
          <w:tcPr>
            <w:tcW w:w="1899" w:type="dxa"/>
            <w:vAlign w:val="center"/>
          </w:tcPr>
          <w:p>
            <w:pPr>
              <w:wordWrap w:val="0"/>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68" w:type="dxa"/>
            <w:vAlign w:val="center"/>
          </w:tcPr>
          <w:p>
            <w:pPr>
              <w:wordWrap w:val="0"/>
              <w:spacing w:line="360" w:lineRule="auto"/>
              <w:jc w:val="center"/>
              <w:rPr>
                <w:rFonts w:hint="eastAsia" w:ascii="宋体" w:hAnsi="宋体" w:eastAsia="宋体"/>
                <w:color w:val="auto"/>
                <w:sz w:val="24"/>
                <w:szCs w:val="24"/>
                <w:lang w:val="en-US" w:eastAsia="zh-CN"/>
              </w:rPr>
            </w:pPr>
            <w:ins w:id="47" w:author="FYD" w:date="2023-05-25T16:28:42Z">
              <w:r>
                <w:rPr>
                  <w:rFonts w:hint="eastAsia" w:ascii="宋体" w:hAnsi="宋体"/>
                  <w:color w:val="auto"/>
                  <w:sz w:val="24"/>
                  <w:szCs w:val="24"/>
                  <w:lang w:val="en-US" w:eastAsia="zh-CN"/>
                </w:rPr>
                <w:t>2</w:t>
              </w:r>
            </w:ins>
          </w:p>
        </w:tc>
        <w:tc>
          <w:tcPr>
            <w:tcW w:w="4562" w:type="dxa"/>
            <w:vAlign w:val="top"/>
          </w:tcPr>
          <w:p>
            <w:pPr>
              <w:pStyle w:val="27"/>
              <w:widowControl/>
              <w:shd w:val="clear" w:color="auto" w:fill="FFFFFF"/>
              <w:wordWrap w:val="0"/>
              <w:spacing w:line="360" w:lineRule="auto"/>
              <w:rPr>
                <w:rFonts w:ascii="宋体" w:hAnsi="宋体" w:cs="宋体"/>
                <w:bCs/>
                <w:color w:val="auto"/>
                <w:kern w:val="0"/>
                <w:sz w:val="24"/>
                <w:szCs w:val="24"/>
              </w:rPr>
            </w:pPr>
            <w:r>
              <w:rPr>
                <w:rFonts w:hint="eastAsia" w:ascii="宋体" w:hAnsi="宋体" w:cs="宋体"/>
                <w:color w:val="auto"/>
              </w:rPr>
              <w:t>★</w:t>
            </w:r>
            <w:r>
              <w:rPr>
                <w:rFonts w:ascii="宋体" w:hAnsi="宋体" w:cs="宋体"/>
                <w:b w:val="0"/>
                <w:bCs w:val="0"/>
                <w:color w:val="auto"/>
              </w:rPr>
              <w:t xml:space="preserve">5.6 </w:t>
            </w:r>
            <w:r>
              <w:rPr>
                <w:rStyle w:val="87"/>
                <w:rFonts w:ascii="宋体" w:hAnsi="宋体"/>
                <w:b w:val="0"/>
                <w:color w:val="auto"/>
              </w:rPr>
              <w:t>本次采购最高限价为</w:t>
            </w:r>
            <w:r>
              <w:rPr>
                <w:rStyle w:val="87"/>
                <w:rFonts w:hint="eastAsia" w:ascii="宋体" w:hAnsi="宋体"/>
                <w:b w:val="0"/>
                <w:color w:val="auto"/>
              </w:rPr>
              <w:t>550</w:t>
            </w:r>
            <w:r>
              <w:rPr>
                <w:rStyle w:val="87"/>
                <w:rFonts w:hint="eastAsia" w:ascii="宋体" w:hAnsi="宋体"/>
                <w:b w:val="0"/>
                <w:color w:val="auto"/>
                <w:lang w:val="en-US" w:eastAsia="zh-CN"/>
              </w:rPr>
              <w:t>,</w:t>
            </w:r>
            <w:r>
              <w:rPr>
                <w:rStyle w:val="87"/>
                <w:rFonts w:hint="eastAsia" w:ascii="宋体" w:hAnsi="宋体"/>
                <w:b w:val="0"/>
                <w:color w:val="auto"/>
              </w:rPr>
              <w:t>000.00元</w:t>
            </w:r>
            <w:r>
              <w:rPr>
                <w:rStyle w:val="87"/>
                <w:rFonts w:ascii="宋体" w:hAnsi="宋体"/>
                <w:b w:val="0"/>
                <w:color w:val="auto"/>
              </w:rPr>
              <w:t>，</w:t>
            </w:r>
            <w:r>
              <w:rPr>
                <w:rStyle w:val="87"/>
                <w:rFonts w:hint="eastAsia" w:ascii="宋体" w:hAnsi="宋体"/>
                <w:b w:val="0"/>
                <w:color w:val="auto"/>
              </w:rPr>
              <w:t>服务期限为两年，</w:t>
            </w:r>
            <w:r>
              <w:rPr>
                <w:rStyle w:val="87"/>
                <w:rFonts w:ascii="宋体" w:hAnsi="宋体"/>
                <w:b w:val="0"/>
                <w:color w:val="auto"/>
              </w:rPr>
              <w:t>供应商</w:t>
            </w:r>
            <w:r>
              <w:rPr>
                <w:rStyle w:val="87"/>
                <w:rFonts w:hint="eastAsia" w:ascii="宋体" w:hAnsi="宋体"/>
                <w:b w:val="0"/>
                <w:color w:val="auto"/>
                <w:lang w:val="en-US" w:eastAsia="zh-CN"/>
              </w:rPr>
              <w:t>任意一次的</w:t>
            </w:r>
            <w:r>
              <w:rPr>
                <w:rStyle w:val="87"/>
                <w:rFonts w:ascii="宋体" w:hAnsi="宋体"/>
                <w:b w:val="0"/>
                <w:color w:val="auto"/>
              </w:rPr>
              <w:t>报价不得超过此最高限价，否则作无效报价处理。</w:t>
            </w:r>
          </w:p>
        </w:tc>
        <w:tc>
          <w:tcPr>
            <w:tcW w:w="1335" w:type="dxa"/>
            <w:vAlign w:val="center"/>
          </w:tcPr>
          <w:p>
            <w:pPr>
              <w:wordWrap w:val="0"/>
              <w:spacing w:line="360" w:lineRule="auto"/>
              <w:rPr>
                <w:rFonts w:ascii="宋体" w:hAnsi="宋体"/>
                <w:color w:val="auto"/>
                <w:sz w:val="24"/>
                <w:szCs w:val="24"/>
              </w:rPr>
            </w:pPr>
          </w:p>
        </w:tc>
        <w:tc>
          <w:tcPr>
            <w:tcW w:w="1899" w:type="dxa"/>
            <w:vAlign w:val="center"/>
          </w:tcPr>
          <w:p>
            <w:pPr>
              <w:wordWrap w:val="0"/>
              <w:spacing w:line="360" w:lineRule="auto"/>
              <w:rPr>
                <w:rFonts w:ascii="宋体" w:hAnsi="宋体"/>
                <w:color w:val="auto"/>
                <w:sz w:val="24"/>
                <w:szCs w:val="24"/>
              </w:rPr>
            </w:pPr>
          </w:p>
        </w:tc>
      </w:tr>
    </w:tbl>
    <w:p>
      <w:pPr>
        <w:wordWrap w:val="0"/>
        <w:spacing w:line="360" w:lineRule="auto"/>
        <w:ind w:firstLine="441" w:firstLineChars="200"/>
        <w:jc w:val="left"/>
        <w:rPr>
          <w:rFonts w:ascii="宋体" w:hAnsi="宋体"/>
          <w:b/>
          <w:color w:val="auto"/>
          <w:sz w:val="22"/>
        </w:rPr>
      </w:pPr>
      <w:r>
        <w:rPr>
          <w:rFonts w:hint="eastAsia" w:ascii="宋体" w:hAnsi="宋体"/>
          <w:b/>
          <w:color w:val="auto"/>
          <w:sz w:val="22"/>
        </w:rPr>
        <w:t>以上★号条款为采购文件中的所有★号条款，无论是技术指标或文字描述要求，报价人应逐条如实的进行响应。</w:t>
      </w:r>
    </w:p>
    <w:p>
      <w:pPr>
        <w:wordWrap w:val="0"/>
        <w:spacing w:line="360" w:lineRule="auto"/>
        <w:ind w:firstLine="481" w:firstLineChars="200"/>
        <w:jc w:val="left"/>
        <w:rPr>
          <w:rFonts w:ascii="宋体" w:hAnsi="宋体"/>
          <w:b/>
          <w:color w:val="auto"/>
          <w:sz w:val="24"/>
          <w:szCs w:val="24"/>
        </w:rPr>
      </w:pPr>
    </w:p>
    <w:p>
      <w:pPr>
        <w:pStyle w:val="73"/>
        <w:wordWrap w:val="0"/>
        <w:spacing w:line="360" w:lineRule="auto"/>
        <w:rPr>
          <w:rFonts w:ascii="宋体" w:hAnsi="宋体"/>
          <w:color w:val="auto"/>
        </w:rPr>
      </w:pPr>
    </w:p>
    <w:p>
      <w:pPr>
        <w:pStyle w:val="73"/>
        <w:wordWrap w:val="0"/>
        <w:spacing w:line="360" w:lineRule="auto"/>
        <w:rPr>
          <w:rFonts w:ascii="宋体" w:hAnsi="宋体"/>
          <w:color w:val="auto"/>
        </w:rPr>
      </w:pPr>
    </w:p>
    <w:p>
      <w:pPr>
        <w:wordWrap w:val="0"/>
        <w:spacing w:line="360" w:lineRule="auto"/>
        <w:rPr>
          <w:rFonts w:ascii="宋体" w:hAnsi="宋体" w:cs="宋体"/>
          <w:color w:val="auto"/>
          <w:sz w:val="24"/>
          <w:szCs w:val="24"/>
          <w:u w:val="single"/>
        </w:rPr>
      </w:pPr>
      <w:bookmarkStart w:id="419" w:name="_Toc484527774"/>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419"/>
    <w:p>
      <w:pPr>
        <w:pStyle w:val="4"/>
        <w:pageBreakBefore/>
        <w:wordWrap w:val="0"/>
        <w:spacing w:line="360" w:lineRule="auto"/>
        <w:ind w:left="210"/>
        <w:jc w:val="center"/>
        <w:rPr>
          <w:rFonts w:ascii="宋体" w:hAnsi="宋体"/>
          <w:color w:val="auto"/>
          <w:sz w:val="28"/>
        </w:rPr>
      </w:pPr>
      <w:r>
        <w:rPr>
          <w:rFonts w:hint="eastAsia" w:ascii="宋体" w:hAnsi="宋体"/>
          <w:color w:val="auto"/>
          <w:sz w:val="28"/>
        </w:rPr>
        <w:t>（</w:t>
      </w:r>
      <w:r>
        <w:rPr>
          <w:rFonts w:ascii="宋体" w:hAnsi="宋体"/>
          <w:color w:val="auto"/>
          <w:sz w:val="28"/>
        </w:rPr>
        <w:t>9</w:t>
      </w:r>
      <w:r>
        <w:rPr>
          <w:rFonts w:hint="eastAsia" w:ascii="宋体" w:hAnsi="宋体"/>
          <w:color w:val="auto"/>
          <w:sz w:val="28"/>
        </w:rPr>
        <w:t>）磋商代理服务费承诺书</w:t>
      </w:r>
    </w:p>
    <w:p>
      <w:pPr>
        <w:wordWrap w:val="0"/>
        <w:snapToGrid w:val="0"/>
        <w:spacing w:line="360" w:lineRule="auto"/>
        <w:rPr>
          <w:rStyle w:val="87"/>
          <w:rFonts w:ascii="宋体" w:hAnsi="宋体"/>
          <w:color w:val="auto"/>
          <w:sz w:val="24"/>
          <w:u w:val="single"/>
        </w:rPr>
      </w:pPr>
      <w:r>
        <w:rPr>
          <w:rStyle w:val="87"/>
          <w:rFonts w:ascii="宋体" w:hAnsi="宋体"/>
          <w:color w:val="auto"/>
          <w:sz w:val="24"/>
        </w:rPr>
        <w:t>致：</w:t>
      </w:r>
      <w:r>
        <w:rPr>
          <w:rStyle w:val="87"/>
          <w:rFonts w:ascii="宋体" w:hAnsi="宋体"/>
          <w:color w:val="auto"/>
          <w:sz w:val="24"/>
          <w:szCs w:val="24"/>
          <w:u w:val="single"/>
        </w:rPr>
        <w:t>建信发展（厦门）采购招标有限公司</w:t>
      </w:r>
    </w:p>
    <w:p>
      <w:pPr>
        <w:wordWrap w:val="0"/>
        <w:snapToGrid w:val="0"/>
        <w:spacing w:line="360" w:lineRule="auto"/>
        <w:ind w:firstLine="480" w:firstLineChars="200"/>
        <w:rPr>
          <w:rStyle w:val="87"/>
          <w:rFonts w:ascii="宋体" w:hAnsi="宋体"/>
          <w:color w:val="auto"/>
          <w:sz w:val="24"/>
        </w:rPr>
      </w:pPr>
      <w:r>
        <w:rPr>
          <w:rStyle w:val="87"/>
          <w:rFonts w:ascii="宋体" w:hAnsi="宋体"/>
          <w:color w:val="auto"/>
          <w:sz w:val="24"/>
        </w:rPr>
        <w:t>我司在贵司组织的</w:t>
      </w:r>
      <w:r>
        <w:rPr>
          <w:rStyle w:val="87"/>
          <w:rFonts w:ascii="宋体" w:hAnsi="宋体"/>
          <w:color w:val="auto"/>
          <w:sz w:val="24"/>
          <w:u w:val="single" w:color="000000"/>
        </w:rPr>
        <w:t xml:space="preserve">         </w:t>
      </w:r>
      <w:r>
        <w:rPr>
          <w:rStyle w:val="87"/>
          <w:rFonts w:ascii="宋体" w:hAnsi="宋体"/>
          <w:color w:val="auto"/>
          <w:sz w:val="24"/>
        </w:rPr>
        <w:t>项目中报价（项目编号：</w:t>
      </w:r>
      <w:r>
        <w:rPr>
          <w:rStyle w:val="87"/>
          <w:rFonts w:ascii="宋体" w:hAnsi="宋体"/>
          <w:color w:val="auto"/>
          <w:sz w:val="24"/>
          <w:u w:val="single" w:color="000000"/>
        </w:rPr>
        <w:t xml:space="preserve">          </w:t>
      </w:r>
      <w:r>
        <w:rPr>
          <w:rStyle w:val="87"/>
          <w:rFonts w:ascii="宋体" w:hAnsi="宋体"/>
          <w:color w:val="auto"/>
          <w:sz w:val="24"/>
        </w:rPr>
        <w:t>），如获成交，我们保证按采购文件的规定，以支票、汇票、电汇、现金或经贵公司认可的其他付款方式向贵司缴交磋商代理服务费。</w:t>
      </w:r>
    </w:p>
    <w:p>
      <w:pPr>
        <w:wordWrap w:val="0"/>
        <w:snapToGrid w:val="0"/>
        <w:spacing w:line="360" w:lineRule="auto"/>
        <w:ind w:firstLine="480" w:firstLineChars="200"/>
        <w:rPr>
          <w:rStyle w:val="87"/>
          <w:rFonts w:ascii="宋体" w:hAnsi="宋体"/>
          <w:color w:val="auto"/>
          <w:sz w:val="24"/>
        </w:rPr>
      </w:pPr>
      <w:r>
        <w:rPr>
          <w:rStyle w:val="87"/>
          <w:rFonts w:ascii="宋体" w:hAnsi="宋体"/>
          <w:color w:val="auto"/>
          <w:sz w:val="24"/>
        </w:rPr>
        <w:t>我司一旦成交，承诺凭成交通知书原件按采购文件的规定签订合同，并最迟应于合同签订前缴交成交服务费，否则，我司同意贵司在网上对我司“不按规定缴交成交服务费的行为”进行公示。若自公示之日起3个工作日内，我司仍未缴交成交服务费的，我司同意按每日1%计取违约金。</w:t>
      </w:r>
    </w:p>
    <w:p>
      <w:pPr>
        <w:wordWrap w:val="0"/>
        <w:snapToGrid w:val="0"/>
        <w:spacing w:line="360" w:lineRule="auto"/>
        <w:ind w:firstLine="480" w:firstLineChars="200"/>
        <w:rPr>
          <w:rStyle w:val="87"/>
          <w:rFonts w:ascii="宋体" w:hAnsi="宋体"/>
          <w:color w:val="auto"/>
          <w:sz w:val="24"/>
        </w:rPr>
      </w:pPr>
      <w:r>
        <w:rPr>
          <w:rStyle w:val="87"/>
          <w:rFonts w:ascii="宋体" w:hAnsi="宋体"/>
          <w:color w:val="auto"/>
          <w:sz w:val="24"/>
        </w:rPr>
        <w:t>特此承诺！</w:t>
      </w:r>
    </w:p>
    <w:p>
      <w:pPr>
        <w:wordWrap w:val="0"/>
        <w:snapToGrid w:val="0"/>
        <w:spacing w:line="360" w:lineRule="auto"/>
        <w:rPr>
          <w:rStyle w:val="87"/>
          <w:rFonts w:ascii="宋体" w:hAnsi="宋体"/>
          <w:color w:val="auto"/>
          <w:sz w:val="24"/>
        </w:rPr>
      </w:pPr>
    </w:p>
    <w:p>
      <w:pPr>
        <w:wordWrap w:val="0"/>
        <w:snapToGrid w:val="0"/>
        <w:spacing w:line="360" w:lineRule="auto"/>
        <w:rPr>
          <w:rStyle w:val="87"/>
          <w:rFonts w:ascii="宋体" w:hAnsi="宋体"/>
          <w:color w:val="auto"/>
          <w:sz w:val="24"/>
          <w:u w:val="single"/>
        </w:rPr>
      </w:pPr>
      <w:r>
        <w:rPr>
          <w:rStyle w:val="87"/>
          <w:rFonts w:ascii="宋体" w:hAnsi="宋体"/>
          <w:color w:val="auto"/>
          <w:sz w:val="24"/>
        </w:rPr>
        <w:t xml:space="preserve">                            供应商（全称并加盖公章）： </w:t>
      </w:r>
      <w:r>
        <w:rPr>
          <w:rStyle w:val="87"/>
          <w:rFonts w:ascii="宋体" w:hAnsi="宋体"/>
          <w:color w:val="auto"/>
          <w:sz w:val="24"/>
          <w:u w:val="single" w:color="000000"/>
        </w:rPr>
        <w:t xml:space="preserve">                  </w:t>
      </w:r>
    </w:p>
    <w:p>
      <w:pPr>
        <w:wordWrap w:val="0"/>
        <w:snapToGrid w:val="0"/>
        <w:spacing w:line="360" w:lineRule="auto"/>
        <w:rPr>
          <w:rStyle w:val="87"/>
          <w:rFonts w:ascii="宋体" w:hAnsi="宋体"/>
          <w:color w:val="auto"/>
          <w:sz w:val="24"/>
        </w:rPr>
      </w:pPr>
      <w:r>
        <w:rPr>
          <w:rStyle w:val="87"/>
          <w:rFonts w:ascii="宋体" w:hAnsi="宋体"/>
          <w:color w:val="auto"/>
          <w:sz w:val="24"/>
        </w:rPr>
        <w:t xml:space="preserve">                            供应商代表签字：</w:t>
      </w:r>
      <w:r>
        <w:rPr>
          <w:rStyle w:val="87"/>
          <w:rFonts w:ascii="宋体" w:hAnsi="宋体"/>
          <w:color w:val="auto"/>
          <w:sz w:val="24"/>
          <w:u w:val="single" w:color="000000"/>
        </w:rPr>
        <w:t xml:space="preserve">                         </w:t>
      </w:r>
    </w:p>
    <w:p>
      <w:pPr>
        <w:wordWrap w:val="0"/>
        <w:snapToGrid w:val="0"/>
        <w:spacing w:line="360" w:lineRule="auto"/>
        <w:ind w:firstLine="3360" w:firstLineChars="1400"/>
        <w:rPr>
          <w:rStyle w:val="87"/>
          <w:rFonts w:ascii="宋体" w:hAnsi="宋体"/>
          <w:color w:val="auto"/>
          <w:sz w:val="24"/>
          <w:u w:val="single"/>
        </w:rPr>
      </w:pPr>
      <w:r>
        <w:rPr>
          <w:rStyle w:val="87"/>
          <w:rFonts w:ascii="宋体" w:hAnsi="宋体"/>
          <w:color w:val="auto"/>
          <w:sz w:val="24"/>
        </w:rPr>
        <w:t>邮 编：</w:t>
      </w:r>
      <w:r>
        <w:rPr>
          <w:rStyle w:val="87"/>
          <w:rFonts w:ascii="宋体" w:hAnsi="宋体"/>
          <w:color w:val="auto"/>
          <w:sz w:val="24"/>
          <w:u w:val="single" w:color="000000"/>
        </w:rPr>
        <w:t xml:space="preserve">           </w:t>
      </w:r>
      <w:r>
        <w:rPr>
          <w:rStyle w:val="87"/>
          <w:rFonts w:ascii="宋体" w:hAnsi="宋体"/>
          <w:color w:val="auto"/>
          <w:sz w:val="24"/>
        </w:rPr>
        <w:t>电 话：</w:t>
      </w:r>
      <w:r>
        <w:rPr>
          <w:rStyle w:val="87"/>
          <w:rFonts w:ascii="宋体" w:hAnsi="宋体"/>
          <w:color w:val="auto"/>
          <w:sz w:val="24"/>
          <w:u w:val="single" w:color="000000"/>
        </w:rPr>
        <w:t xml:space="preserve">          </w:t>
      </w:r>
    </w:p>
    <w:p>
      <w:pPr>
        <w:wordWrap w:val="0"/>
        <w:snapToGrid w:val="0"/>
        <w:spacing w:line="360" w:lineRule="auto"/>
        <w:ind w:firstLine="3360" w:firstLineChars="1400"/>
        <w:rPr>
          <w:rStyle w:val="87"/>
          <w:rFonts w:ascii="宋体" w:hAnsi="宋体"/>
          <w:color w:val="auto"/>
          <w:sz w:val="24"/>
        </w:rPr>
      </w:pPr>
      <w:r>
        <w:rPr>
          <w:rStyle w:val="87"/>
          <w:rFonts w:ascii="宋体" w:hAnsi="宋体"/>
          <w:color w:val="auto"/>
          <w:sz w:val="24"/>
        </w:rPr>
        <w:t>传 真：</w:t>
      </w:r>
      <w:r>
        <w:rPr>
          <w:rStyle w:val="87"/>
          <w:rFonts w:ascii="宋体" w:hAnsi="宋体"/>
          <w:color w:val="auto"/>
          <w:sz w:val="24"/>
          <w:u w:val="single" w:color="000000"/>
        </w:rPr>
        <w:t xml:space="preserve">           </w:t>
      </w:r>
      <w:r>
        <w:rPr>
          <w:rStyle w:val="87"/>
          <w:rFonts w:ascii="宋体" w:hAnsi="宋体"/>
          <w:color w:val="auto"/>
          <w:sz w:val="24"/>
        </w:rPr>
        <w:t>日 期：</w:t>
      </w:r>
      <w:r>
        <w:rPr>
          <w:rStyle w:val="87"/>
          <w:rFonts w:ascii="宋体" w:hAnsi="宋体"/>
          <w:color w:val="auto"/>
          <w:sz w:val="24"/>
          <w:u w:val="single" w:color="000000"/>
        </w:rPr>
        <w:t xml:space="preserve">          </w:t>
      </w:r>
    </w:p>
    <w:p>
      <w:pPr>
        <w:wordWrap w:val="0"/>
        <w:spacing w:line="360" w:lineRule="auto"/>
        <w:rPr>
          <w:rFonts w:ascii="宋体" w:hAnsi="宋体"/>
          <w:color w:val="auto"/>
        </w:rPr>
      </w:pPr>
    </w:p>
    <w:bookmarkEnd w:id="396"/>
    <w:bookmarkEnd w:id="418"/>
    <w:p>
      <w:pPr>
        <w:pStyle w:val="84"/>
        <w:keepLines/>
        <w:pageBreakBefore/>
        <w:wordWrap w:val="0"/>
        <w:spacing w:line="360" w:lineRule="auto"/>
        <w:jc w:val="center"/>
        <w:outlineLvl w:val="1"/>
        <w:rPr>
          <w:rFonts w:hAnsi="宋体" w:cs="宋体"/>
          <w:b/>
          <w:color w:val="auto"/>
          <w:sz w:val="32"/>
          <w:szCs w:val="32"/>
        </w:rPr>
      </w:pPr>
      <w:ins w:id="48" w:author="FYD" w:date="2023-05-25T16:32:06Z">
        <w:bookmarkStart w:id="420" w:name="_Toc10203"/>
        <w:bookmarkStart w:id="421" w:name="_Toc115273199"/>
        <w:bookmarkStart w:id="422" w:name="_Toc91768095"/>
        <w:bookmarkStart w:id="423" w:name="_Toc25247"/>
        <w:bookmarkStart w:id="424" w:name="_Toc99382027"/>
        <w:bookmarkStart w:id="425" w:name="_Toc92179950"/>
        <w:bookmarkStart w:id="426" w:name="_Toc23559"/>
        <w:bookmarkStart w:id="427" w:name="_Toc131530308"/>
        <w:bookmarkStart w:id="428" w:name="_Toc131438718"/>
        <w:bookmarkStart w:id="429" w:name="_Toc118126133"/>
        <w:bookmarkStart w:id="430" w:name="_Toc117525489"/>
        <w:bookmarkStart w:id="431" w:name="_Toc13807"/>
        <w:bookmarkStart w:id="432" w:name="_Toc7817"/>
        <w:bookmarkStart w:id="433" w:name="_Toc120699952"/>
        <w:bookmarkStart w:id="434" w:name="_Toc100242655"/>
        <w:bookmarkStart w:id="435" w:name="_Toc132034568"/>
        <w:bookmarkStart w:id="436" w:name="_Toc120705563"/>
        <w:r>
          <w:rPr>
            <w:rFonts w:hint="eastAsia" w:hAnsi="宋体" w:cs="宋体"/>
            <w:b/>
            <w:color w:val="auto"/>
            <w:sz w:val="32"/>
            <w:szCs w:val="32"/>
          </w:rPr>
          <w:t>技术和商务响应/偏离表</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ins>
    </w:p>
    <w:p>
      <w:pPr>
        <w:wordWrap w:val="0"/>
        <w:spacing w:line="360" w:lineRule="auto"/>
        <w:rPr>
          <w:rFonts w:ascii="宋体" w:hAnsi="宋体" w:cs="宋体"/>
          <w:color w:val="auto"/>
          <w:sz w:val="24"/>
          <w:szCs w:val="28"/>
        </w:rPr>
      </w:pPr>
      <w:r>
        <w:rPr>
          <w:rFonts w:hint="eastAsia" w:ascii="宋体" w:hAnsi="宋体" w:cs="宋体"/>
          <w:color w:val="auto"/>
          <w:sz w:val="24"/>
          <w:szCs w:val="28"/>
        </w:rPr>
        <w:t>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合同包/品目号</w:t>
            </w:r>
          </w:p>
        </w:tc>
        <w:tc>
          <w:tcPr>
            <w:tcW w:w="1516"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名称</w:t>
            </w:r>
          </w:p>
        </w:tc>
        <w:tc>
          <w:tcPr>
            <w:tcW w:w="1585"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规格条目号</w:t>
            </w:r>
          </w:p>
        </w:tc>
        <w:tc>
          <w:tcPr>
            <w:tcW w:w="1789"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磋商文件要求</w:t>
            </w:r>
          </w:p>
        </w:tc>
        <w:tc>
          <w:tcPr>
            <w:tcW w:w="1516"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响应情况</w:t>
            </w:r>
          </w:p>
        </w:tc>
        <w:tc>
          <w:tcPr>
            <w:tcW w:w="1516" w:type="dxa"/>
            <w:vAlign w:val="center"/>
          </w:tcPr>
          <w:p>
            <w:pPr>
              <w:wordWrap w:val="0"/>
              <w:spacing w:line="360" w:lineRule="auto"/>
              <w:rPr>
                <w:rFonts w:ascii="宋体" w:hAnsi="宋体" w:cs="宋体"/>
                <w:color w:val="auto"/>
                <w:sz w:val="24"/>
                <w:szCs w:val="28"/>
              </w:rPr>
            </w:pPr>
            <w:r>
              <w:rPr>
                <w:rFonts w:hint="eastAsia" w:ascii="宋体" w:hAnsi="宋体" w:cs="宋体"/>
                <w:color w:val="auto"/>
                <w:sz w:val="24"/>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85" w:type="dxa"/>
          </w:tcPr>
          <w:p>
            <w:pPr>
              <w:wordWrap w:val="0"/>
              <w:spacing w:line="360" w:lineRule="auto"/>
              <w:rPr>
                <w:rFonts w:ascii="宋体" w:hAnsi="宋体" w:cs="宋体"/>
                <w:color w:val="auto"/>
                <w:sz w:val="24"/>
                <w:szCs w:val="28"/>
              </w:rPr>
            </w:pPr>
          </w:p>
        </w:tc>
        <w:tc>
          <w:tcPr>
            <w:tcW w:w="1789"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c>
          <w:tcPr>
            <w:tcW w:w="1516" w:type="dxa"/>
          </w:tcPr>
          <w:p>
            <w:pPr>
              <w:wordWrap w:val="0"/>
              <w:spacing w:line="360" w:lineRule="auto"/>
              <w:rPr>
                <w:rFonts w:ascii="宋体" w:hAnsi="宋体" w:cs="宋体"/>
                <w:color w:val="auto"/>
                <w:sz w:val="24"/>
                <w:szCs w:val="28"/>
              </w:rPr>
            </w:pPr>
          </w:p>
        </w:tc>
      </w:tr>
    </w:tbl>
    <w:p>
      <w:pPr>
        <w:wordWrap w:val="0"/>
        <w:spacing w:line="360" w:lineRule="auto"/>
        <w:rPr>
          <w:rFonts w:ascii="宋体" w:hAnsi="宋体" w:cs="宋体"/>
          <w:color w:val="auto"/>
        </w:rPr>
      </w:pPr>
      <w:r>
        <w:rPr>
          <w:rFonts w:hint="eastAsia" w:ascii="宋体" w:hAnsi="宋体" w:cs="宋体"/>
          <w:color w:val="auto"/>
        </w:rPr>
        <w:t>注：磋商响应供应商提交的磋商响应文件中与磋商文件“第三章 采购内容及要求”的技术、商务部分的要求有不同时，应逐条列在偏离表中，否则将认为磋商响应供应商接受磋商文件的要求。磋商响应供应商存在弄虚作假行为的，将依法承担相应的法律责任。</w:t>
      </w:r>
    </w:p>
    <w:p>
      <w:pPr>
        <w:wordWrap w:val="0"/>
        <w:spacing w:line="360" w:lineRule="auto"/>
        <w:rPr>
          <w:rFonts w:ascii="宋体" w:hAnsi="宋体" w:cs="宋体"/>
          <w:color w:val="auto"/>
        </w:rPr>
      </w:pPr>
    </w:p>
    <w:p>
      <w:pPr>
        <w:wordWrap w:val="0"/>
        <w:spacing w:line="360" w:lineRule="auto"/>
        <w:rPr>
          <w:rFonts w:ascii="宋体" w:hAnsi="宋体" w:cs="宋体"/>
          <w:color w:val="auto"/>
        </w:rPr>
      </w:pP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p>
    <w:p>
      <w:pPr>
        <w:pStyle w:val="84"/>
        <w:keepLines/>
        <w:pageBreakBefore/>
        <w:wordWrap w:val="0"/>
        <w:spacing w:line="360" w:lineRule="auto"/>
        <w:jc w:val="center"/>
        <w:outlineLvl w:val="1"/>
        <w:rPr>
          <w:rFonts w:hAnsi="宋体" w:cs="宋体"/>
          <w:b/>
          <w:color w:val="auto"/>
          <w:sz w:val="32"/>
          <w:szCs w:val="32"/>
        </w:rPr>
      </w:pPr>
      <w:bookmarkStart w:id="437" w:name="_Toc131438719"/>
      <w:bookmarkStart w:id="438" w:name="_Toc120705564"/>
      <w:bookmarkStart w:id="439" w:name="_Toc30231"/>
      <w:bookmarkStart w:id="440" w:name="_Toc120699953"/>
      <w:bookmarkStart w:id="441" w:name="_Toc131530309"/>
      <w:bookmarkStart w:id="442" w:name="_Toc132034569"/>
      <w:r>
        <w:rPr>
          <w:rFonts w:hAnsi="宋体" w:cs="宋体"/>
          <w:b/>
          <w:color w:val="auto"/>
          <w:sz w:val="32"/>
          <w:szCs w:val="32"/>
        </w:rPr>
        <w:t>项目方案</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37"/>
      <w:bookmarkEnd w:id="438"/>
      <w:bookmarkEnd w:id="439"/>
      <w:bookmarkEnd w:id="440"/>
      <w:bookmarkEnd w:id="441"/>
      <w:bookmarkEnd w:id="442"/>
    </w:p>
    <w:p>
      <w:pPr>
        <w:tabs>
          <w:tab w:val="left" w:pos="992"/>
        </w:tabs>
        <w:wordWrap w:val="0"/>
        <w:spacing w:line="360" w:lineRule="auto"/>
        <w:ind w:firstLine="480" w:firstLineChars="200"/>
        <w:rPr>
          <w:rFonts w:ascii="宋体" w:hAnsi="宋体" w:cs="宋体"/>
          <w:color w:val="auto"/>
          <w:sz w:val="24"/>
        </w:rPr>
      </w:pPr>
      <w:r>
        <w:rPr>
          <w:rFonts w:hint="eastAsia" w:ascii="宋体" w:hAnsi="宋体" w:cs="宋体"/>
          <w:color w:val="auto"/>
          <w:sz w:val="24"/>
        </w:rPr>
        <w:t>（包括但不限于服务内容、服务流程、应急响应方案、驻点服务方案、团队稳定性保障措施等内容。）</w:t>
      </w:r>
    </w:p>
    <w:p>
      <w:pPr>
        <w:wordWrap w:val="0"/>
        <w:spacing w:line="360" w:lineRule="auto"/>
        <w:rPr>
          <w:rFonts w:ascii="宋体" w:hAnsi="宋体" w:cs="宋体"/>
          <w:color w:val="auto"/>
          <w:sz w:val="24"/>
          <w:szCs w:val="24"/>
        </w:rPr>
      </w:pPr>
    </w:p>
    <w:p>
      <w:pPr>
        <w:pStyle w:val="16"/>
        <w:wordWrap w:val="0"/>
        <w:snapToGrid w:val="0"/>
        <w:spacing w:line="360" w:lineRule="auto"/>
        <w:jc w:val="left"/>
        <w:rPr>
          <w:rFonts w:hAnsi="宋体" w:cs="宋体"/>
          <w:color w:val="auto"/>
          <w:sz w:val="24"/>
          <w:szCs w:val="24"/>
        </w:rPr>
      </w:pPr>
    </w:p>
    <w:p>
      <w:pPr>
        <w:widowControl/>
        <w:wordWrap w:val="0"/>
        <w:spacing w:line="360" w:lineRule="auto"/>
        <w:jc w:val="center"/>
        <w:rPr>
          <w:rFonts w:ascii="宋体" w:hAnsi="宋体" w:cs="宋体"/>
          <w:b/>
          <w:color w:val="auto"/>
          <w:sz w:val="32"/>
        </w:rPr>
        <w:sectPr>
          <w:pgSz w:w="11915" w:h="16840"/>
          <w:pgMar w:top="1418" w:right="1134" w:bottom="1418" w:left="1400" w:header="851" w:footer="992" w:gutter="0"/>
          <w:cols w:space="720" w:num="1"/>
          <w:docGrid w:linePitch="381" w:charSpace="0"/>
        </w:sectPr>
      </w:pPr>
    </w:p>
    <w:bookmarkEnd w:id="375"/>
    <w:p>
      <w:pPr>
        <w:pStyle w:val="84"/>
        <w:keepLines/>
        <w:pageBreakBefore/>
        <w:wordWrap w:val="0"/>
        <w:spacing w:line="360" w:lineRule="auto"/>
        <w:jc w:val="center"/>
        <w:outlineLvl w:val="1"/>
        <w:rPr>
          <w:rFonts w:hAnsi="宋体" w:cs="宋体"/>
          <w:b/>
          <w:color w:val="auto"/>
          <w:sz w:val="32"/>
          <w:szCs w:val="32"/>
        </w:rPr>
      </w:pPr>
      <w:bookmarkStart w:id="443" w:name="_Toc115273200"/>
      <w:bookmarkStart w:id="444" w:name="_Toc18400"/>
      <w:bookmarkStart w:id="445" w:name="_Toc120699954"/>
      <w:bookmarkStart w:id="446" w:name="_Toc91768096"/>
      <w:bookmarkStart w:id="447" w:name="_Toc131530310"/>
      <w:bookmarkStart w:id="448" w:name="_Toc92179951"/>
      <w:bookmarkStart w:id="449" w:name="_Toc28311"/>
      <w:bookmarkStart w:id="450" w:name="_Toc100242656"/>
      <w:bookmarkStart w:id="451" w:name="_Toc117525490"/>
      <w:bookmarkStart w:id="452" w:name="_Toc6246"/>
      <w:bookmarkStart w:id="453" w:name="_Toc1314"/>
      <w:bookmarkStart w:id="454" w:name="_Toc118126134"/>
      <w:bookmarkStart w:id="455" w:name="_Toc131438720"/>
      <w:bookmarkStart w:id="456" w:name="_Toc99382028"/>
      <w:bookmarkStart w:id="457" w:name="_Toc120705565"/>
      <w:bookmarkStart w:id="458" w:name="_Toc13324"/>
      <w:bookmarkStart w:id="459" w:name="_Toc132034570"/>
      <w:r>
        <w:rPr>
          <w:rFonts w:hAnsi="宋体" w:cs="宋体"/>
          <w:b/>
          <w:color w:val="auto"/>
          <w:sz w:val="32"/>
          <w:szCs w:val="32"/>
        </w:rPr>
        <w:t>项目组配置方案</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17"/>
        <w:tabs>
          <w:tab w:val="left" w:pos="900"/>
        </w:tabs>
        <w:wordWrap w:val="0"/>
        <w:spacing w:line="360" w:lineRule="auto"/>
        <w:ind w:left="99" w:leftChars="47"/>
        <w:rPr>
          <w:rFonts w:ascii="宋体" w:hAnsi="宋体" w:cs="宋体"/>
          <w:color w:val="auto"/>
          <w:sz w:val="24"/>
          <w:szCs w:val="24"/>
        </w:rPr>
      </w:pPr>
      <w:r>
        <w:rPr>
          <w:rFonts w:hint="eastAsia" w:ascii="宋体" w:hAnsi="宋体" w:cs="宋体"/>
          <w:color w:val="auto"/>
          <w:sz w:val="24"/>
          <w:szCs w:val="24"/>
        </w:rPr>
        <w:t>致：建信发展（厦门）采购招标有限公司</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根据贵方为</w:t>
      </w:r>
      <w:r>
        <w:rPr>
          <w:rFonts w:hint="eastAsia" w:ascii="宋体" w:hAnsi="宋体" w:cs="宋体"/>
          <w:color w:val="auto"/>
          <w:sz w:val="24"/>
          <w:szCs w:val="24"/>
          <w:u w:val="single"/>
        </w:rPr>
        <w:t xml:space="preserve">                       </w:t>
      </w:r>
      <w:r>
        <w:rPr>
          <w:rFonts w:hint="eastAsia" w:ascii="宋体" w:hAnsi="宋体" w:cs="宋体"/>
          <w:color w:val="auto"/>
          <w:sz w:val="24"/>
          <w:szCs w:val="24"/>
        </w:rPr>
        <w:t>项目的磋商邀请，我司针对该项目配备的人员组成如下（提供相应资格证书或技术证书）：</w:t>
      </w:r>
    </w:p>
    <w:p>
      <w:pPr>
        <w:pStyle w:val="13"/>
        <w:wordWrap w:val="0"/>
        <w:spacing w:before="240" w:line="360" w:lineRule="auto"/>
        <w:jc w:val="center"/>
        <w:rPr>
          <w:rFonts w:ascii="宋体" w:hAnsi="宋体" w:cs="宋体"/>
          <w:b/>
          <w:color w:val="auto"/>
          <w:sz w:val="24"/>
        </w:rPr>
      </w:pPr>
      <w:r>
        <w:rPr>
          <w:rFonts w:hint="eastAsia" w:ascii="宋体" w:hAnsi="宋体" w:cs="宋体"/>
          <w:b/>
          <w:color w:val="auto"/>
          <w:sz w:val="24"/>
        </w:rPr>
        <w:t>主要项目组成员配备情况表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2"/>
        <w:gridCol w:w="959"/>
        <w:gridCol w:w="679"/>
        <w:gridCol w:w="720"/>
        <w:gridCol w:w="525"/>
        <w:gridCol w:w="645"/>
        <w:gridCol w:w="855"/>
        <w:gridCol w:w="775"/>
        <w:gridCol w:w="720"/>
        <w:gridCol w:w="8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1"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拟任</w:t>
            </w:r>
          </w:p>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职位</w:t>
            </w:r>
          </w:p>
        </w:tc>
        <w:tc>
          <w:tcPr>
            <w:tcW w:w="802"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姓  名</w:t>
            </w:r>
          </w:p>
        </w:tc>
        <w:tc>
          <w:tcPr>
            <w:tcW w:w="959"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身份证号码</w:t>
            </w:r>
          </w:p>
        </w:tc>
        <w:tc>
          <w:tcPr>
            <w:tcW w:w="679"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学历</w:t>
            </w:r>
          </w:p>
        </w:tc>
        <w:tc>
          <w:tcPr>
            <w:tcW w:w="720"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职 称</w:t>
            </w:r>
          </w:p>
        </w:tc>
        <w:tc>
          <w:tcPr>
            <w:tcW w:w="525"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专  业</w:t>
            </w:r>
          </w:p>
        </w:tc>
        <w:tc>
          <w:tcPr>
            <w:tcW w:w="645"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工作</w:t>
            </w:r>
          </w:p>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经历年限</w:t>
            </w:r>
          </w:p>
        </w:tc>
        <w:tc>
          <w:tcPr>
            <w:tcW w:w="855" w:type="dxa"/>
            <w:vMerge w:val="restart"/>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类似职位工作经历年限</w:t>
            </w:r>
          </w:p>
        </w:tc>
        <w:tc>
          <w:tcPr>
            <w:tcW w:w="2335" w:type="dxa"/>
            <w:gridSpan w:val="3"/>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岗位资格证明</w:t>
            </w:r>
          </w:p>
        </w:tc>
        <w:tc>
          <w:tcPr>
            <w:tcW w:w="1185" w:type="dxa"/>
            <w:vMerge w:val="restart"/>
            <w:vAlign w:val="center"/>
          </w:tcPr>
          <w:p>
            <w:pPr>
              <w:tabs>
                <w:tab w:val="left" w:pos="1824"/>
                <w:tab w:val="left" w:pos="2880"/>
              </w:tabs>
              <w:wordWrap w:val="0"/>
              <w:spacing w:line="360" w:lineRule="auto"/>
              <w:ind w:left="27" w:leftChars="-30" w:hanging="90" w:hangingChars="43"/>
              <w:jc w:val="center"/>
              <w:rPr>
                <w:rFonts w:ascii="宋体" w:hAnsi="宋体" w:cs="宋体"/>
                <w:color w:val="auto"/>
                <w:szCs w:val="21"/>
              </w:rPr>
            </w:pPr>
            <w:r>
              <w:rPr>
                <w:rFonts w:hint="eastAsia" w:ascii="宋体" w:hAnsi="宋体" w:cs="宋体"/>
                <w:color w:val="auto"/>
                <w:szCs w:val="21"/>
              </w:rPr>
              <w:t>目前服务单位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1" w:type="dxa"/>
            <w:vMerge w:val="continue"/>
            <w:vAlign w:val="center"/>
          </w:tcPr>
          <w:p>
            <w:pPr>
              <w:tabs>
                <w:tab w:val="left" w:pos="1824"/>
                <w:tab w:val="left" w:pos="2880"/>
              </w:tabs>
              <w:wordWrap w:val="0"/>
              <w:spacing w:line="360" w:lineRule="auto"/>
              <w:jc w:val="center"/>
              <w:rPr>
                <w:rFonts w:ascii="宋体" w:hAnsi="宋体" w:cs="宋体"/>
                <w:color w:val="auto"/>
                <w:szCs w:val="21"/>
              </w:rPr>
            </w:pPr>
          </w:p>
        </w:tc>
        <w:tc>
          <w:tcPr>
            <w:tcW w:w="802" w:type="dxa"/>
            <w:vMerge w:val="continue"/>
          </w:tcPr>
          <w:p>
            <w:pPr>
              <w:tabs>
                <w:tab w:val="left" w:pos="1824"/>
                <w:tab w:val="left" w:pos="2880"/>
              </w:tabs>
              <w:wordWrap w:val="0"/>
              <w:spacing w:line="360" w:lineRule="auto"/>
              <w:jc w:val="center"/>
              <w:rPr>
                <w:rFonts w:ascii="宋体" w:hAnsi="宋体" w:cs="宋体"/>
                <w:color w:val="auto"/>
                <w:szCs w:val="21"/>
              </w:rPr>
            </w:pPr>
          </w:p>
        </w:tc>
        <w:tc>
          <w:tcPr>
            <w:tcW w:w="959" w:type="dxa"/>
            <w:vMerge w:val="continue"/>
          </w:tcPr>
          <w:p>
            <w:pPr>
              <w:tabs>
                <w:tab w:val="left" w:pos="1824"/>
                <w:tab w:val="left" w:pos="2880"/>
              </w:tabs>
              <w:wordWrap w:val="0"/>
              <w:spacing w:line="360" w:lineRule="auto"/>
              <w:jc w:val="center"/>
              <w:rPr>
                <w:rFonts w:ascii="宋体" w:hAnsi="宋体" w:cs="宋体"/>
                <w:color w:val="auto"/>
                <w:szCs w:val="21"/>
              </w:rPr>
            </w:pPr>
          </w:p>
        </w:tc>
        <w:tc>
          <w:tcPr>
            <w:tcW w:w="679" w:type="dxa"/>
            <w:vMerge w:val="continue"/>
          </w:tcPr>
          <w:p>
            <w:pPr>
              <w:tabs>
                <w:tab w:val="left" w:pos="1824"/>
                <w:tab w:val="left" w:pos="2880"/>
              </w:tabs>
              <w:wordWrap w:val="0"/>
              <w:spacing w:line="360" w:lineRule="auto"/>
              <w:jc w:val="center"/>
              <w:rPr>
                <w:rFonts w:ascii="宋体" w:hAnsi="宋体" w:cs="宋体"/>
                <w:color w:val="auto"/>
                <w:szCs w:val="21"/>
              </w:rPr>
            </w:pPr>
          </w:p>
        </w:tc>
        <w:tc>
          <w:tcPr>
            <w:tcW w:w="720" w:type="dxa"/>
            <w:vMerge w:val="continue"/>
          </w:tcPr>
          <w:p>
            <w:pPr>
              <w:tabs>
                <w:tab w:val="left" w:pos="1824"/>
                <w:tab w:val="left" w:pos="2880"/>
              </w:tabs>
              <w:wordWrap w:val="0"/>
              <w:spacing w:line="360" w:lineRule="auto"/>
              <w:jc w:val="center"/>
              <w:rPr>
                <w:rFonts w:ascii="宋体" w:hAnsi="宋体" w:cs="宋体"/>
                <w:color w:val="auto"/>
                <w:szCs w:val="21"/>
              </w:rPr>
            </w:pPr>
          </w:p>
        </w:tc>
        <w:tc>
          <w:tcPr>
            <w:tcW w:w="525" w:type="dxa"/>
            <w:vMerge w:val="continue"/>
          </w:tcPr>
          <w:p>
            <w:pPr>
              <w:tabs>
                <w:tab w:val="left" w:pos="1824"/>
                <w:tab w:val="left" w:pos="2880"/>
              </w:tabs>
              <w:wordWrap w:val="0"/>
              <w:spacing w:line="360" w:lineRule="auto"/>
              <w:jc w:val="center"/>
              <w:rPr>
                <w:rFonts w:ascii="宋体" w:hAnsi="宋体" w:cs="宋体"/>
                <w:color w:val="auto"/>
                <w:szCs w:val="21"/>
              </w:rPr>
            </w:pPr>
          </w:p>
        </w:tc>
        <w:tc>
          <w:tcPr>
            <w:tcW w:w="645" w:type="dxa"/>
            <w:vMerge w:val="continue"/>
          </w:tcPr>
          <w:p>
            <w:pPr>
              <w:tabs>
                <w:tab w:val="left" w:pos="1824"/>
                <w:tab w:val="left" w:pos="2880"/>
              </w:tabs>
              <w:wordWrap w:val="0"/>
              <w:spacing w:line="360" w:lineRule="auto"/>
              <w:jc w:val="center"/>
              <w:rPr>
                <w:rFonts w:ascii="宋体" w:hAnsi="宋体" w:cs="宋体"/>
                <w:color w:val="auto"/>
                <w:szCs w:val="21"/>
              </w:rPr>
            </w:pPr>
          </w:p>
        </w:tc>
        <w:tc>
          <w:tcPr>
            <w:tcW w:w="855" w:type="dxa"/>
            <w:vMerge w:val="continue"/>
          </w:tcPr>
          <w:p>
            <w:pPr>
              <w:tabs>
                <w:tab w:val="left" w:pos="1824"/>
                <w:tab w:val="left" w:pos="2880"/>
              </w:tabs>
              <w:wordWrap w:val="0"/>
              <w:spacing w:line="360" w:lineRule="auto"/>
              <w:jc w:val="center"/>
              <w:rPr>
                <w:rFonts w:ascii="宋体" w:hAnsi="宋体" w:cs="宋体"/>
                <w:color w:val="auto"/>
                <w:szCs w:val="21"/>
              </w:rPr>
            </w:pPr>
          </w:p>
        </w:tc>
        <w:tc>
          <w:tcPr>
            <w:tcW w:w="775" w:type="dxa"/>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岗位</w:t>
            </w:r>
          </w:p>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资格</w:t>
            </w:r>
          </w:p>
        </w:tc>
        <w:tc>
          <w:tcPr>
            <w:tcW w:w="720" w:type="dxa"/>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证书</w:t>
            </w:r>
          </w:p>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名称</w:t>
            </w:r>
          </w:p>
        </w:tc>
        <w:tc>
          <w:tcPr>
            <w:tcW w:w="840" w:type="dxa"/>
            <w:vAlign w:val="center"/>
          </w:tcPr>
          <w:p>
            <w:pPr>
              <w:tabs>
                <w:tab w:val="left" w:pos="1824"/>
                <w:tab w:val="left" w:pos="2880"/>
              </w:tabs>
              <w:wordWrap w:val="0"/>
              <w:spacing w:line="360" w:lineRule="auto"/>
              <w:jc w:val="center"/>
              <w:rPr>
                <w:rFonts w:ascii="宋体" w:hAnsi="宋体" w:cs="宋体"/>
                <w:color w:val="auto"/>
                <w:szCs w:val="21"/>
              </w:rPr>
            </w:pPr>
            <w:r>
              <w:rPr>
                <w:rFonts w:hint="eastAsia" w:ascii="宋体" w:hAnsi="宋体" w:cs="宋体"/>
                <w:color w:val="auto"/>
                <w:szCs w:val="21"/>
              </w:rPr>
              <w:t>证号</w:t>
            </w:r>
          </w:p>
        </w:tc>
        <w:tc>
          <w:tcPr>
            <w:tcW w:w="1185" w:type="dxa"/>
            <w:vMerge w:val="continue"/>
          </w:tcPr>
          <w:p>
            <w:pPr>
              <w:tabs>
                <w:tab w:val="left" w:pos="1824"/>
                <w:tab w:val="left" w:pos="2880"/>
              </w:tabs>
              <w:wordWrap w:val="0"/>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1" w:type="dxa"/>
          </w:tcPr>
          <w:p>
            <w:pPr>
              <w:tabs>
                <w:tab w:val="left" w:pos="1824"/>
                <w:tab w:val="left" w:pos="2880"/>
              </w:tabs>
              <w:wordWrap w:val="0"/>
              <w:spacing w:line="360" w:lineRule="auto"/>
              <w:jc w:val="center"/>
              <w:rPr>
                <w:rFonts w:ascii="宋体" w:hAnsi="宋体" w:cs="宋体"/>
                <w:color w:val="auto"/>
                <w:szCs w:val="21"/>
              </w:rPr>
            </w:pPr>
          </w:p>
        </w:tc>
        <w:tc>
          <w:tcPr>
            <w:tcW w:w="802" w:type="dxa"/>
          </w:tcPr>
          <w:p>
            <w:pPr>
              <w:tabs>
                <w:tab w:val="left" w:pos="1824"/>
                <w:tab w:val="left" w:pos="2880"/>
              </w:tabs>
              <w:wordWrap w:val="0"/>
              <w:spacing w:line="360" w:lineRule="auto"/>
              <w:jc w:val="center"/>
              <w:rPr>
                <w:rFonts w:ascii="宋体" w:hAnsi="宋体" w:cs="宋体"/>
                <w:color w:val="auto"/>
                <w:szCs w:val="21"/>
              </w:rPr>
            </w:pPr>
          </w:p>
        </w:tc>
        <w:tc>
          <w:tcPr>
            <w:tcW w:w="959" w:type="dxa"/>
          </w:tcPr>
          <w:p>
            <w:pPr>
              <w:tabs>
                <w:tab w:val="left" w:pos="1824"/>
                <w:tab w:val="left" w:pos="2880"/>
              </w:tabs>
              <w:wordWrap w:val="0"/>
              <w:spacing w:line="360" w:lineRule="auto"/>
              <w:jc w:val="center"/>
              <w:rPr>
                <w:rFonts w:ascii="宋体" w:hAnsi="宋体" w:cs="宋体"/>
                <w:color w:val="auto"/>
                <w:szCs w:val="21"/>
              </w:rPr>
            </w:pPr>
          </w:p>
        </w:tc>
        <w:tc>
          <w:tcPr>
            <w:tcW w:w="679"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525" w:type="dxa"/>
          </w:tcPr>
          <w:p>
            <w:pPr>
              <w:tabs>
                <w:tab w:val="left" w:pos="1824"/>
                <w:tab w:val="left" w:pos="2880"/>
              </w:tabs>
              <w:wordWrap w:val="0"/>
              <w:spacing w:line="360" w:lineRule="auto"/>
              <w:jc w:val="center"/>
              <w:rPr>
                <w:rFonts w:ascii="宋体" w:hAnsi="宋体" w:cs="宋体"/>
                <w:color w:val="auto"/>
                <w:szCs w:val="21"/>
              </w:rPr>
            </w:pPr>
          </w:p>
        </w:tc>
        <w:tc>
          <w:tcPr>
            <w:tcW w:w="645" w:type="dxa"/>
          </w:tcPr>
          <w:p>
            <w:pPr>
              <w:tabs>
                <w:tab w:val="left" w:pos="1824"/>
                <w:tab w:val="left" w:pos="2880"/>
              </w:tabs>
              <w:wordWrap w:val="0"/>
              <w:spacing w:line="360" w:lineRule="auto"/>
              <w:jc w:val="center"/>
              <w:rPr>
                <w:rFonts w:ascii="宋体" w:hAnsi="宋体" w:cs="宋体"/>
                <w:color w:val="auto"/>
                <w:szCs w:val="21"/>
              </w:rPr>
            </w:pPr>
          </w:p>
        </w:tc>
        <w:tc>
          <w:tcPr>
            <w:tcW w:w="855" w:type="dxa"/>
          </w:tcPr>
          <w:p>
            <w:pPr>
              <w:tabs>
                <w:tab w:val="left" w:pos="1824"/>
                <w:tab w:val="left" w:pos="2880"/>
              </w:tabs>
              <w:wordWrap w:val="0"/>
              <w:spacing w:line="360" w:lineRule="auto"/>
              <w:jc w:val="center"/>
              <w:rPr>
                <w:rFonts w:ascii="宋体" w:hAnsi="宋体" w:cs="宋体"/>
                <w:color w:val="auto"/>
                <w:szCs w:val="21"/>
              </w:rPr>
            </w:pPr>
          </w:p>
        </w:tc>
        <w:tc>
          <w:tcPr>
            <w:tcW w:w="775"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840" w:type="dxa"/>
          </w:tcPr>
          <w:p>
            <w:pPr>
              <w:tabs>
                <w:tab w:val="left" w:pos="1824"/>
                <w:tab w:val="left" w:pos="2880"/>
              </w:tabs>
              <w:wordWrap w:val="0"/>
              <w:spacing w:line="360" w:lineRule="auto"/>
              <w:jc w:val="center"/>
              <w:rPr>
                <w:rFonts w:ascii="宋体" w:hAnsi="宋体" w:cs="宋体"/>
                <w:color w:val="auto"/>
                <w:szCs w:val="21"/>
              </w:rPr>
            </w:pPr>
          </w:p>
        </w:tc>
        <w:tc>
          <w:tcPr>
            <w:tcW w:w="1185" w:type="dxa"/>
          </w:tcPr>
          <w:p>
            <w:pPr>
              <w:tabs>
                <w:tab w:val="left" w:pos="1824"/>
                <w:tab w:val="left" w:pos="2880"/>
              </w:tabs>
              <w:wordWrap w:val="0"/>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1" w:type="dxa"/>
          </w:tcPr>
          <w:p>
            <w:pPr>
              <w:tabs>
                <w:tab w:val="left" w:pos="1824"/>
                <w:tab w:val="left" w:pos="2880"/>
              </w:tabs>
              <w:wordWrap w:val="0"/>
              <w:spacing w:line="360" w:lineRule="auto"/>
              <w:jc w:val="center"/>
              <w:rPr>
                <w:rFonts w:ascii="宋体" w:hAnsi="宋体" w:cs="宋体"/>
                <w:color w:val="auto"/>
                <w:szCs w:val="21"/>
              </w:rPr>
            </w:pPr>
          </w:p>
        </w:tc>
        <w:tc>
          <w:tcPr>
            <w:tcW w:w="802" w:type="dxa"/>
          </w:tcPr>
          <w:p>
            <w:pPr>
              <w:tabs>
                <w:tab w:val="left" w:pos="1824"/>
                <w:tab w:val="left" w:pos="2880"/>
              </w:tabs>
              <w:wordWrap w:val="0"/>
              <w:spacing w:line="360" w:lineRule="auto"/>
              <w:jc w:val="center"/>
              <w:rPr>
                <w:rFonts w:ascii="宋体" w:hAnsi="宋体" w:cs="宋体"/>
                <w:color w:val="auto"/>
                <w:szCs w:val="21"/>
              </w:rPr>
            </w:pPr>
          </w:p>
        </w:tc>
        <w:tc>
          <w:tcPr>
            <w:tcW w:w="959" w:type="dxa"/>
          </w:tcPr>
          <w:p>
            <w:pPr>
              <w:tabs>
                <w:tab w:val="left" w:pos="1824"/>
                <w:tab w:val="left" w:pos="2880"/>
              </w:tabs>
              <w:wordWrap w:val="0"/>
              <w:spacing w:line="360" w:lineRule="auto"/>
              <w:jc w:val="center"/>
              <w:rPr>
                <w:rFonts w:ascii="宋体" w:hAnsi="宋体" w:cs="宋体"/>
                <w:color w:val="auto"/>
                <w:szCs w:val="21"/>
              </w:rPr>
            </w:pPr>
          </w:p>
        </w:tc>
        <w:tc>
          <w:tcPr>
            <w:tcW w:w="679"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525" w:type="dxa"/>
          </w:tcPr>
          <w:p>
            <w:pPr>
              <w:tabs>
                <w:tab w:val="left" w:pos="1824"/>
                <w:tab w:val="left" w:pos="2880"/>
              </w:tabs>
              <w:wordWrap w:val="0"/>
              <w:spacing w:line="360" w:lineRule="auto"/>
              <w:jc w:val="center"/>
              <w:rPr>
                <w:rFonts w:ascii="宋体" w:hAnsi="宋体" w:cs="宋体"/>
                <w:color w:val="auto"/>
                <w:szCs w:val="21"/>
              </w:rPr>
            </w:pPr>
          </w:p>
        </w:tc>
        <w:tc>
          <w:tcPr>
            <w:tcW w:w="645" w:type="dxa"/>
          </w:tcPr>
          <w:p>
            <w:pPr>
              <w:tabs>
                <w:tab w:val="left" w:pos="1824"/>
                <w:tab w:val="left" w:pos="2880"/>
              </w:tabs>
              <w:wordWrap w:val="0"/>
              <w:spacing w:line="360" w:lineRule="auto"/>
              <w:jc w:val="center"/>
              <w:rPr>
                <w:rFonts w:ascii="宋体" w:hAnsi="宋体" w:cs="宋体"/>
                <w:color w:val="auto"/>
                <w:szCs w:val="21"/>
              </w:rPr>
            </w:pPr>
          </w:p>
        </w:tc>
        <w:tc>
          <w:tcPr>
            <w:tcW w:w="855" w:type="dxa"/>
          </w:tcPr>
          <w:p>
            <w:pPr>
              <w:tabs>
                <w:tab w:val="left" w:pos="1824"/>
                <w:tab w:val="left" w:pos="2880"/>
              </w:tabs>
              <w:wordWrap w:val="0"/>
              <w:spacing w:line="360" w:lineRule="auto"/>
              <w:jc w:val="center"/>
              <w:rPr>
                <w:rFonts w:ascii="宋体" w:hAnsi="宋体" w:cs="宋体"/>
                <w:color w:val="auto"/>
                <w:szCs w:val="21"/>
              </w:rPr>
            </w:pPr>
          </w:p>
        </w:tc>
        <w:tc>
          <w:tcPr>
            <w:tcW w:w="775"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840" w:type="dxa"/>
          </w:tcPr>
          <w:p>
            <w:pPr>
              <w:tabs>
                <w:tab w:val="left" w:pos="1824"/>
                <w:tab w:val="left" w:pos="2880"/>
              </w:tabs>
              <w:wordWrap w:val="0"/>
              <w:spacing w:line="360" w:lineRule="auto"/>
              <w:jc w:val="center"/>
              <w:rPr>
                <w:rFonts w:ascii="宋体" w:hAnsi="宋体" w:cs="宋体"/>
                <w:color w:val="auto"/>
                <w:szCs w:val="21"/>
              </w:rPr>
            </w:pPr>
          </w:p>
        </w:tc>
        <w:tc>
          <w:tcPr>
            <w:tcW w:w="1185" w:type="dxa"/>
          </w:tcPr>
          <w:p>
            <w:pPr>
              <w:tabs>
                <w:tab w:val="left" w:pos="1824"/>
                <w:tab w:val="left" w:pos="2880"/>
              </w:tabs>
              <w:wordWrap w:val="0"/>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tcPr>
          <w:p>
            <w:pPr>
              <w:tabs>
                <w:tab w:val="left" w:pos="1824"/>
                <w:tab w:val="left" w:pos="2880"/>
              </w:tabs>
              <w:wordWrap w:val="0"/>
              <w:spacing w:line="360" w:lineRule="auto"/>
              <w:jc w:val="center"/>
              <w:rPr>
                <w:rFonts w:ascii="宋体" w:hAnsi="宋体" w:cs="宋体"/>
                <w:color w:val="auto"/>
                <w:szCs w:val="21"/>
              </w:rPr>
            </w:pPr>
          </w:p>
        </w:tc>
        <w:tc>
          <w:tcPr>
            <w:tcW w:w="802" w:type="dxa"/>
          </w:tcPr>
          <w:p>
            <w:pPr>
              <w:tabs>
                <w:tab w:val="left" w:pos="1824"/>
                <w:tab w:val="left" w:pos="2880"/>
              </w:tabs>
              <w:wordWrap w:val="0"/>
              <w:spacing w:line="360" w:lineRule="auto"/>
              <w:jc w:val="center"/>
              <w:rPr>
                <w:rFonts w:ascii="宋体" w:hAnsi="宋体" w:cs="宋体"/>
                <w:color w:val="auto"/>
                <w:szCs w:val="21"/>
              </w:rPr>
            </w:pPr>
          </w:p>
        </w:tc>
        <w:tc>
          <w:tcPr>
            <w:tcW w:w="959" w:type="dxa"/>
          </w:tcPr>
          <w:p>
            <w:pPr>
              <w:tabs>
                <w:tab w:val="left" w:pos="1824"/>
                <w:tab w:val="left" w:pos="2880"/>
              </w:tabs>
              <w:wordWrap w:val="0"/>
              <w:spacing w:line="360" w:lineRule="auto"/>
              <w:jc w:val="center"/>
              <w:rPr>
                <w:rFonts w:ascii="宋体" w:hAnsi="宋体" w:cs="宋体"/>
                <w:color w:val="auto"/>
                <w:szCs w:val="21"/>
              </w:rPr>
            </w:pPr>
          </w:p>
        </w:tc>
        <w:tc>
          <w:tcPr>
            <w:tcW w:w="679"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525" w:type="dxa"/>
          </w:tcPr>
          <w:p>
            <w:pPr>
              <w:tabs>
                <w:tab w:val="left" w:pos="1824"/>
                <w:tab w:val="left" w:pos="2880"/>
              </w:tabs>
              <w:wordWrap w:val="0"/>
              <w:spacing w:line="360" w:lineRule="auto"/>
              <w:jc w:val="center"/>
              <w:rPr>
                <w:rFonts w:ascii="宋体" w:hAnsi="宋体" w:cs="宋体"/>
                <w:color w:val="auto"/>
                <w:szCs w:val="21"/>
              </w:rPr>
            </w:pPr>
          </w:p>
        </w:tc>
        <w:tc>
          <w:tcPr>
            <w:tcW w:w="645" w:type="dxa"/>
          </w:tcPr>
          <w:p>
            <w:pPr>
              <w:tabs>
                <w:tab w:val="left" w:pos="1824"/>
                <w:tab w:val="left" w:pos="2880"/>
              </w:tabs>
              <w:wordWrap w:val="0"/>
              <w:spacing w:line="360" w:lineRule="auto"/>
              <w:jc w:val="center"/>
              <w:rPr>
                <w:rFonts w:ascii="宋体" w:hAnsi="宋体" w:cs="宋体"/>
                <w:color w:val="auto"/>
                <w:szCs w:val="21"/>
              </w:rPr>
            </w:pPr>
          </w:p>
        </w:tc>
        <w:tc>
          <w:tcPr>
            <w:tcW w:w="855" w:type="dxa"/>
          </w:tcPr>
          <w:p>
            <w:pPr>
              <w:tabs>
                <w:tab w:val="left" w:pos="1824"/>
                <w:tab w:val="left" w:pos="2880"/>
              </w:tabs>
              <w:wordWrap w:val="0"/>
              <w:spacing w:line="360" w:lineRule="auto"/>
              <w:jc w:val="center"/>
              <w:rPr>
                <w:rFonts w:ascii="宋体" w:hAnsi="宋体" w:cs="宋体"/>
                <w:color w:val="auto"/>
                <w:szCs w:val="21"/>
              </w:rPr>
            </w:pPr>
          </w:p>
        </w:tc>
        <w:tc>
          <w:tcPr>
            <w:tcW w:w="775"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840" w:type="dxa"/>
          </w:tcPr>
          <w:p>
            <w:pPr>
              <w:tabs>
                <w:tab w:val="left" w:pos="1824"/>
                <w:tab w:val="left" w:pos="2880"/>
              </w:tabs>
              <w:wordWrap w:val="0"/>
              <w:spacing w:line="360" w:lineRule="auto"/>
              <w:jc w:val="center"/>
              <w:rPr>
                <w:rFonts w:ascii="宋体" w:hAnsi="宋体" w:cs="宋体"/>
                <w:color w:val="auto"/>
                <w:szCs w:val="21"/>
              </w:rPr>
            </w:pPr>
          </w:p>
        </w:tc>
        <w:tc>
          <w:tcPr>
            <w:tcW w:w="1185" w:type="dxa"/>
          </w:tcPr>
          <w:p>
            <w:pPr>
              <w:tabs>
                <w:tab w:val="left" w:pos="1824"/>
                <w:tab w:val="left" w:pos="2880"/>
              </w:tabs>
              <w:wordWrap w:val="0"/>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tcPr>
          <w:p>
            <w:pPr>
              <w:tabs>
                <w:tab w:val="left" w:pos="1824"/>
                <w:tab w:val="left" w:pos="2880"/>
              </w:tabs>
              <w:wordWrap w:val="0"/>
              <w:spacing w:line="360" w:lineRule="auto"/>
              <w:jc w:val="center"/>
              <w:rPr>
                <w:rFonts w:ascii="宋体" w:hAnsi="宋体" w:cs="宋体"/>
                <w:color w:val="auto"/>
                <w:szCs w:val="21"/>
              </w:rPr>
            </w:pPr>
          </w:p>
        </w:tc>
        <w:tc>
          <w:tcPr>
            <w:tcW w:w="802" w:type="dxa"/>
          </w:tcPr>
          <w:p>
            <w:pPr>
              <w:tabs>
                <w:tab w:val="left" w:pos="1824"/>
                <w:tab w:val="left" w:pos="2880"/>
              </w:tabs>
              <w:wordWrap w:val="0"/>
              <w:spacing w:line="360" w:lineRule="auto"/>
              <w:jc w:val="center"/>
              <w:rPr>
                <w:rFonts w:ascii="宋体" w:hAnsi="宋体" w:cs="宋体"/>
                <w:color w:val="auto"/>
                <w:szCs w:val="21"/>
              </w:rPr>
            </w:pPr>
          </w:p>
        </w:tc>
        <w:tc>
          <w:tcPr>
            <w:tcW w:w="959" w:type="dxa"/>
          </w:tcPr>
          <w:p>
            <w:pPr>
              <w:tabs>
                <w:tab w:val="left" w:pos="1824"/>
                <w:tab w:val="left" w:pos="2880"/>
              </w:tabs>
              <w:wordWrap w:val="0"/>
              <w:spacing w:line="360" w:lineRule="auto"/>
              <w:jc w:val="center"/>
              <w:rPr>
                <w:rFonts w:ascii="宋体" w:hAnsi="宋体" w:cs="宋体"/>
                <w:color w:val="auto"/>
                <w:szCs w:val="21"/>
              </w:rPr>
            </w:pPr>
          </w:p>
        </w:tc>
        <w:tc>
          <w:tcPr>
            <w:tcW w:w="679"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525" w:type="dxa"/>
          </w:tcPr>
          <w:p>
            <w:pPr>
              <w:tabs>
                <w:tab w:val="left" w:pos="1824"/>
                <w:tab w:val="left" w:pos="2880"/>
              </w:tabs>
              <w:wordWrap w:val="0"/>
              <w:spacing w:line="360" w:lineRule="auto"/>
              <w:jc w:val="center"/>
              <w:rPr>
                <w:rFonts w:ascii="宋体" w:hAnsi="宋体" w:cs="宋体"/>
                <w:color w:val="auto"/>
                <w:szCs w:val="21"/>
              </w:rPr>
            </w:pPr>
          </w:p>
        </w:tc>
        <w:tc>
          <w:tcPr>
            <w:tcW w:w="645" w:type="dxa"/>
          </w:tcPr>
          <w:p>
            <w:pPr>
              <w:tabs>
                <w:tab w:val="left" w:pos="1824"/>
                <w:tab w:val="left" w:pos="2880"/>
              </w:tabs>
              <w:wordWrap w:val="0"/>
              <w:spacing w:line="360" w:lineRule="auto"/>
              <w:jc w:val="center"/>
              <w:rPr>
                <w:rFonts w:ascii="宋体" w:hAnsi="宋体" w:cs="宋体"/>
                <w:color w:val="auto"/>
                <w:szCs w:val="21"/>
              </w:rPr>
            </w:pPr>
          </w:p>
        </w:tc>
        <w:tc>
          <w:tcPr>
            <w:tcW w:w="855" w:type="dxa"/>
          </w:tcPr>
          <w:p>
            <w:pPr>
              <w:tabs>
                <w:tab w:val="left" w:pos="1824"/>
                <w:tab w:val="left" w:pos="2880"/>
              </w:tabs>
              <w:wordWrap w:val="0"/>
              <w:spacing w:line="360" w:lineRule="auto"/>
              <w:jc w:val="center"/>
              <w:rPr>
                <w:rFonts w:ascii="宋体" w:hAnsi="宋体" w:cs="宋体"/>
                <w:color w:val="auto"/>
                <w:szCs w:val="21"/>
              </w:rPr>
            </w:pPr>
          </w:p>
        </w:tc>
        <w:tc>
          <w:tcPr>
            <w:tcW w:w="775" w:type="dxa"/>
          </w:tcPr>
          <w:p>
            <w:pPr>
              <w:tabs>
                <w:tab w:val="left" w:pos="1824"/>
                <w:tab w:val="left" w:pos="2880"/>
              </w:tabs>
              <w:wordWrap w:val="0"/>
              <w:spacing w:line="360" w:lineRule="auto"/>
              <w:jc w:val="center"/>
              <w:rPr>
                <w:rFonts w:ascii="宋体" w:hAnsi="宋体" w:cs="宋体"/>
                <w:color w:val="auto"/>
                <w:szCs w:val="21"/>
              </w:rPr>
            </w:pPr>
          </w:p>
        </w:tc>
        <w:tc>
          <w:tcPr>
            <w:tcW w:w="720" w:type="dxa"/>
          </w:tcPr>
          <w:p>
            <w:pPr>
              <w:tabs>
                <w:tab w:val="left" w:pos="1824"/>
                <w:tab w:val="left" w:pos="2880"/>
              </w:tabs>
              <w:wordWrap w:val="0"/>
              <w:spacing w:line="360" w:lineRule="auto"/>
              <w:jc w:val="center"/>
              <w:rPr>
                <w:rFonts w:ascii="宋体" w:hAnsi="宋体" w:cs="宋体"/>
                <w:color w:val="auto"/>
                <w:szCs w:val="21"/>
              </w:rPr>
            </w:pPr>
          </w:p>
        </w:tc>
        <w:tc>
          <w:tcPr>
            <w:tcW w:w="840" w:type="dxa"/>
          </w:tcPr>
          <w:p>
            <w:pPr>
              <w:tabs>
                <w:tab w:val="left" w:pos="1824"/>
                <w:tab w:val="left" w:pos="2880"/>
              </w:tabs>
              <w:wordWrap w:val="0"/>
              <w:spacing w:line="360" w:lineRule="auto"/>
              <w:jc w:val="center"/>
              <w:rPr>
                <w:rFonts w:ascii="宋体" w:hAnsi="宋体" w:cs="宋体"/>
                <w:color w:val="auto"/>
                <w:szCs w:val="21"/>
              </w:rPr>
            </w:pPr>
          </w:p>
        </w:tc>
        <w:tc>
          <w:tcPr>
            <w:tcW w:w="1185" w:type="dxa"/>
          </w:tcPr>
          <w:p>
            <w:pPr>
              <w:tabs>
                <w:tab w:val="left" w:pos="1824"/>
                <w:tab w:val="left" w:pos="2880"/>
              </w:tabs>
              <w:wordWrap w:val="0"/>
              <w:spacing w:line="360" w:lineRule="auto"/>
              <w:jc w:val="center"/>
              <w:rPr>
                <w:rFonts w:ascii="宋体" w:hAnsi="宋体" w:cs="宋体"/>
                <w:color w:val="auto"/>
                <w:szCs w:val="21"/>
              </w:rPr>
            </w:pPr>
          </w:p>
        </w:tc>
      </w:tr>
    </w:tbl>
    <w:p>
      <w:pPr>
        <w:wordWrap w:val="0"/>
        <w:spacing w:line="360" w:lineRule="auto"/>
        <w:rPr>
          <w:rFonts w:ascii="宋体" w:hAnsi="宋体" w:cs="宋体"/>
          <w:color w:val="auto"/>
          <w:sz w:val="22"/>
        </w:rPr>
      </w:pPr>
      <w:r>
        <w:rPr>
          <w:rFonts w:hint="eastAsia" w:ascii="宋体" w:hAnsi="宋体" w:cs="宋体"/>
          <w:color w:val="auto"/>
          <w:sz w:val="22"/>
        </w:rPr>
        <w:t>附：项目组成员的身份证、学历证书、技术职称证书、资质证书、在磋商响应供应商单位的社保缴交证明。</w:t>
      </w:r>
    </w:p>
    <w:p>
      <w:pPr>
        <w:wordWrap w:val="0"/>
        <w:spacing w:line="360" w:lineRule="auto"/>
        <w:ind w:firstLine="7653" w:firstLineChars="3189"/>
        <w:rPr>
          <w:rFonts w:ascii="宋体" w:hAnsi="宋体" w:cs="宋体"/>
          <w:color w:val="auto"/>
          <w:sz w:val="24"/>
          <w:szCs w:val="24"/>
        </w:rPr>
      </w:pPr>
    </w:p>
    <w:p>
      <w:pPr>
        <w:wordWrap w:val="0"/>
        <w:spacing w:line="360" w:lineRule="auto"/>
        <w:ind w:firstLine="7653" w:firstLineChars="3189"/>
        <w:rPr>
          <w:rFonts w:ascii="宋体" w:hAnsi="宋体" w:cs="宋体"/>
          <w:color w:val="auto"/>
          <w:sz w:val="24"/>
          <w:szCs w:val="24"/>
        </w:rPr>
      </w:pP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6"/>
        <w:wordWrap w:val="0"/>
        <w:snapToGrid w:val="0"/>
        <w:spacing w:line="360" w:lineRule="auto"/>
        <w:jc w:val="left"/>
        <w:rPr>
          <w:rFonts w:hAnsi="宋体" w:cs="宋体"/>
          <w:color w:val="auto"/>
          <w:sz w:val="24"/>
          <w:szCs w:val="24"/>
        </w:rPr>
      </w:pPr>
    </w:p>
    <w:p>
      <w:pPr>
        <w:pStyle w:val="13"/>
        <w:wordWrap w:val="0"/>
        <w:spacing w:line="360" w:lineRule="auto"/>
        <w:rPr>
          <w:rFonts w:ascii="宋体" w:hAnsi="宋体"/>
          <w:color w:val="auto"/>
          <w:sz w:val="24"/>
        </w:rPr>
        <w:sectPr>
          <w:type w:val="nextColumn"/>
          <w:pgSz w:w="11906" w:h="16838"/>
          <w:pgMar w:top="1247" w:right="1418" w:bottom="1247" w:left="1418" w:header="794" w:footer="794" w:gutter="0"/>
          <w:cols w:space="720" w:num="1"/>
          <w:docGrid w:type="lines" w:linePitch="312" w:charSpace="0"/>
        </w:sectPr>
      </w:pPr>
    </w:p>
    <w:p>
      <w:pPr>
        <w:pStyle w:val="84"/>
        <w:keepLines/>
        <w:pageBreakBefore/>
        <w:wordWrap w:val="0"/>
        <w:spacing w:line="360" w:lineRule="auto"/>
        <w:jc w:val="center"/>
        <w:outlineLvl w:val="1"/>
        <w:rPr>
          <w:rFonts w:hAnsi="宋体" w:cs="宋体"/>
          <w:b/>
          <w:color w:val="auto"/>
          <w:sz w:val="32"/>
          <w:szCs w:val="32"/>
        </w:rPr>
      </w:pPr>
      <w:bookmarkStart w:id="460" w:name="_Toc99382031"/>
      <w:bookmarkStart w:id="461" w:name="_Toc17227456"/>
      <w:bookmarkStart w:id="462" w:name="_Toc115273201"/>
      <w:bookmarkStart w:id="463" w:name="_Toc12165"/>
      <w:bookmarkStart w:id="464" w:name="_Toc483561177"/>
      <w:bookmarkStart w:id="465" w:name="_Toc17021"/>
      <w:bookmarkStart w:id="466" w:name="_Toc131530311"/>
      <w:bookmarkStart w:id="467" w:name="_Toc72242093"/>
      <w:bookmarkStart w:id="468" w:name="_Toc120705566"/>
      <w:bookmarkStart w:id="469" w:name="_Toc117525491"/>
      <w:bookmarkStart w:id="470" w:name="_Toc25882"/>
      <w:bookmarkStart w:id="471" w:name="_Toc131438721"/>
      <w:bookmarkStart w:id="472" w:name="_Toc120699955"/>
      <w:bookmarkStart w:id="473" w:name="_Toc100242659"/>
      <w:bookmarkStart w:id="474" w:name="_Toc8693"/>
      <w:bookmarkStart w:id="475" w:name="_Toc30189"/>
      <w:bookmarkStart w:id="476" w:name="_Toc92179953"/>
      <w:bookmarkStart w:id="477" w:name="_Toc118126135"/>
      <w:bookmarkStart w:id="478" w:name="_Toc91768098"/>
      <w:bookmarkStart w:id="479" w:name="_Toc132034571"/>
      <w:r>
        <w:rPr>
          <w:rFonts w:hAnsi="宋体" w:cs="宋体"/>
          <w:b/>
          <w:color w:val="auto"/>
          <w:sz w:val="32"/>
          <w:szCs w:val="32"/>
        </w:rPr>
        <w:t>磋商响应供应商提交的其</w:t>
      </w:r>
      <w:r>
        <w:rPr>
          <w:rFonts w:hint="eastAsia" w:hAnsi="宋体" w:cs="宋体"/>
          <w:b/>
          <w:color w:val="auto"/>
          <w:sz w:val="32"/>
          <w:szCs w:val="32"/>
        </w:rPr>
        <w:t>他</w:t>
      </w:r>
      <w:r>
        <w:rPr>
          <w:rFonts w:hAnsi="宋体" w:cs="宋体"/>
          <w:b/>
          <w:color w:val="auto"/>
          <w:sz w:val="32"/>
          <w:szCs w:val="32"/>
        </w:rPr>
        <w:t>资料</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wordWrap w:val="0"/>
        <w:spacing w:line="360" w:lineRule="auto"/>
        <w:rPr>
          <w:rFonts w:ascii="宋体" w:hAnsi="宋体" w:cs="宋体"/>
          <w:b/>
          <w:color w:val="auto"/>
          <w:sz w:val="24"/>
          <w:szCs w:val="24"/>
        </w:rPr>
      </w:pPr>
    </w:p>
    <w:p>
      <w:pPr>
        <w:wordWrap w:val="0"/>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lang w:bidi="ar"/>
        </w:rPr>
        <w:t>磋商响应供应商认为应提交的其他材料, 可在此附件中提交。</w:t>
      </w:r>
    </w:p>
    <w:p>
      <w:pPr>
        <w:wordWrap w:val="0"/>
        <w:spacing w:line="360" w:lineRule="auto"/>
        <w:rPr>
          <w:rFonts w:ascii="宋体" w:hAnsi="宋体" w:cs="宋体"/>
          <w:color w:val="auto"/>
          <w:sz w:val="24"/>
          <w:szCs w:val="24"/>
        </w:rPr>
      </w:pPr>
    </w:p>
    <w:p>
      <w:pPr>
        <w:pStyle w:val="13"/>
        <w:wordWrap w:val="0"/>
        <w:spacing w:line="360" w:lineRule="auto"/>
        <w:rPr>
          <w:rFonts w:ascii="宋体" w:hAnsi="宋体"/>
          <w:color w:val="auto"/>
          <w:sz w:val="24"/>
        </w:rPr>
      </w:pPr>
    </w:p>
    <w:p>
      <w:pPr>
        <w:wordWrap w:val="0"/>
        <w:spacing w:line="360" w:lineRule="auto"/>
        <w:rPr>
          <w:rFonts w:ascii="宋体" w:hAnsi="宋体" w:cs="宋体"/>
          <w:color w:val="auto"/>
          <w:sz w:val="24"/>
          <w:szCs w:val="24"/>
        </w:rPr>
      </w:pPr>
    </w:p>
    <w:p>
      <w:pPr>
        <w:wordWrap w:val="0"/>
        <w:spacing w:line="360" w:lineRule="auto"/>
        <w:rPr>
          <w:rFonts w:ascii="宋体" w:hAnsi="宋体" w:cs="宋体"/>
          <w:color w:val="auto"/>
          <w:sz w:val="24"/>
          <w:szCs w:val="24"/>
        </w:rPr>
      </w:pP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供应商（全称并加盖公章）：</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供应商代表签字：</w:t>
      </w:r>
      <w:r>
        <w:rPr>
          <w:rFonts w:hint="eastAsia" w:ascii="宋体" w:hAnsi="宋体" w:cs="宋体"/>
          <w:color w:val="auto"/>
          <w:sz w:val="24"/>
          <w:szCs w:val="24"/>
          <w:u w:val="single"/>
        </w:rPr>
        <w:t xml:space="preserve">              </w:t>
      </w:r>
    </w:p>
    <w:p>
      <w:pPr>
        <w:wordWrap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6"/>
        <w:wordWrap w:val="0"/>
        <w:snapToGrid w:val="0"/>
        <w:spacing w:line="360" w:lineRule="auto"/>
        <w:jc w:val="left"/>
        <w:rPr>
          <w:rFonts w:hAnsi="宋体" w:cs="宋体"/>
          <w:color w:val="auto"/>
          <w:sz w:val="24"/>
          <w:szCs w:val="24"/>
        </w:rPr>
      </w:pPr>
    </w:p>
    <w:p>
      <w:pPr>
        <w:wordWrap w:val="0"/>
        <w:spacing w:line="360" w:lineRule="auto"/>
        <w:rPr>
          <w:rFonts w:ascii="宋体" w:hAnsi="宋体" w:cs="宋体"/>
          <w:color w:val="auto"/>
          <w:lang w:bidi="ar"/>
        </w:rPr>
        <w:sectPr>
          <w:type w:val="nextColumn"/>
          <w:pgSz w:w="11915" w:h="16840"/>
          <w:pgMar w:top="1418" w:right="1135" w:bottom="1418" w:left="1400" w:header="851" w:footer="992" w:gutter="0"/>
          <w:cols w:space="720" w:num="1"/>
          <w:docGrid w:linePitch="381" w:charSpace="0"/>
        </w:sectPr>
      </w:pPr>
    </w:p>
    <w:p>
      <w:pPr>
        <w:pStyle w:val="84"/>
        <w:keepLines/>
        <w:pageBreakBefore/>
        <w:wordWrap w:val="0"/>
        <w:spacing w:line="360" w:lineRule="auto"/>
        <w:jc w:val="center"/>
        <w:outlineLvl w:val="1"/>
        <w:rPr>
          <w:rFonts w:hAnsi="宋体" w:cs="宋体"/>
          <w:b/>
          <w:color w:val="auto"/>
          <w:sz w:val="32"/>
          <w:szCs w:val="32"/>
        </w:rPr>
      </w:pPr>
      <w:bookmarkStart w:id="480" w:name="_Toc131438722"/>
      <w:bookmarkStart w:id="481" w:name="_Toc120705567"/>
      <w:bookmarkStart w:id="482" w:name="_Toc100"/>
      <w:bookmarkStart w:id="483" w:name="_Toc10785"/>
      <w:bookmarkStart w:id="484" w:name="_Toc131530312"/>
      <w:bookmarkStart w:id="485" w:name="_Toc132034572"/>
      <w:bookmarkStart w:id="486" w:name="_Toc23720"/>
      <w:bookmarkStart w:id="487" w:name="_Toc100242660"/>
      <w:bookmarkStart w:id="488" w:name="_Toc117525492"/>
      <w:bookmarkStart w:id="489" w:name="_Toc92179954"/>
      <w:bookmarkStart w:id="490" w:name="_Toc118126136"/>
      <w:bookmarkStart w:id="491" w:name="_Toc99382032"/>
      <w:bookmarkStart w:id="492" w:name="_Toc120699956"/>
      <w:bookmarkStart w:id="493" w:name="_Toc115273202"/>
      <w:bookmarkStart w:id="494" w:name="_Toc91768099"/>
      <w:bookmarkStart w:id="495" w:name="_Toc29561"/>
      <w:bookmarkStart w:id="496" w:name="_Toc5483"/>
      <w:r>
        <w:rPr>
          <w:rFonts w:hAnsi="宋体" w:cs="宋体"/>
          <w:b/>
          <w:color w:val="auto"/>
          <w:sz w:val="32"/>
          <w:szCs w:val="32"/>
        </w:rPr>
        <w:t>技术商务评分响应索引表</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7" w:name="_Toc483561179"/>
      <w:bookmarkStart w:id="498" w:name="_Toc449454927"/>
    </w:p>
    <w:p>
      <w:pPr>
        <w:pStyle w:val="11"/>
        <w:wordWrap w:val="0"/>
        <w:spacing w:line="360" w:lineRule="auto"/>
        <w:ind w:firstLine="0"/>
        <w:jc w:val="center"/>
        <w:rPr>
          <w:rFonts w:cs="宋体"/>
          <w:color w:val="auto"/>
          <w:sz w:val="24"/>
          <w:szCs w:val="24"/>
        </w:rPr>
      </w:pPr>
      <w:r>
        <w:rPr>
          <w:rFonts w:hint="eastAsia" w:cs="宋体"/>
          <w:b/>
          <w:bCs/>
          <w:color w:val="auto"/>
          <w:sz w:val="24"/>
          <w:szCs w:val="24"/>
        </w:rPr>
        <w:t>（仅供参考）</w:t>
      </w:r>
    </w:p>
    <w:p>
      <w:pPr>
        <w:wordWrap w:val="0"/>
        <w:spacing w:before="120" w:beforeLines="50" w:after="120" w:afterLines="50" w:line="360" w:lineRule="auto"/>
        <w:rPr>
          <w:rFonts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p>
    <w:tbl>
      <w:tblPr>
        <w:tblStyle w:val="29"/>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18"/>
        <w:gridCol w:w="4732"/>
        <w:gridCol w:w="2835"/>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序号</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评分标准要求</w:t>
            </w: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对应磋商响应文件页码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5" w:type="dxa"/>
            <w:gridSpan w:val="3"/>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技术评分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1-1</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1-2</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1-3</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1-4</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5" w:type="dxa"/>
            <w:gridSpan w:val="3"/>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商务评分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2-1</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2-2</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2-3</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318" w:type="dxa"/>
            <w:vAlign w:val="center"/>
          </w:tcPr>
          <w:p>
            <w:pPr>
              <w:wordWrap w:val="0"/>
              <w:spacing w:before="120" w:beforeLines="50" w:after="120" w:afterLines="50" w:line="360" w:lineRule="auto"/>
              <w:jc w:val="center"/>
              <w:rPr>
                <w:rFonts w:ascii="宋体" w:hAnsi="宋体" w:cs="宋体"/>
                <w:bCs/>
                <w:color w:val="auto"/>
                <w:sz w:val="24"/>
                <w:szCs w:val="24"/>
              </w:rPr>
            </w:pPr>
            <w:r>
              <w:rPr>
                <w:rFonts w:hint="eastAsia" w:ascii="宋体" w:hAnsi="宋体" w:cs="宋体"/>
                <w:bCs/>
                <w:color w:val="auto"/>
                <w:sz w:val="24"/>
                <w:szCs w:val="24"/>
              </w:rPr>
              <w:t>……</w:t>
            </w:r>
          </w:p>
        </w:tc>
        <w:tc>
          <w:tcPr>
            <w:tcW w:w="4732" w:type="dxa"/>
            <w:vAlign w:val="center"/>
          </w:tcPr>
          <w:p>
            <w:pPr>
              <w:wordWrap w:val="0"/>
              <w:spacing w:before="120" w:beforeLines="50" w:after="120" w:afterLines="50" w:line="360" w:lineRule="auto"/>
              <w:jc w:val="center"/>
              <w:rPr>
                <w:rFonts w:ascii="宋体" w:hAnsi="宋体" w:cs="宋体"/>
                <w:bCs/>
                <w:color w:val="auto"/>
                <w:sz w:val="24"/>
                <w:szCs w:val="24"/>
              </w:rPr>
            </w:pPr>
          </w:p>
        </w:tc>
        <w:tc>
          <w:tcPr>
            <w:tcW w:w="2835" w:type="dxa"/>
            <w:vAlign w:val="center"/>
          </w:tcPr>
          <w:p>
            <w:pPr>
              <w:wordWrap w:val="0"/>
              <w:spacing w:before="120" w:beforeLines="50" w:after="120" w:afterLines="50" w:line="360" w:lineRule="auto"/>
              <w:jc w:val="center"/>
              <w:rPr>
                <w:rFonts w:ascii="宋体" w:hAnsi="宋体" w:cs="宋体"/>
                <w:bCs/>
                <w:color w:val="auto"/>
                <w:sz w:val="24"/>
                <w:szCs w:val="24"/>
              </w:rPr>
            </w:pPr>
          </w:p>
        </w:tc>
      </w:tr>
      <w:bookmarkEnd w:id="497"/>
      <w:bookmarkEnd w:id="498"/>
    </w:tbl>
    <w:p>
      <w:pPr>
        <w:pStyle w:val="78"/>
        <w:wordWrap w:val="0"/>
        <w:spacing w:line="360" w:lineRule="auto"/>
        <w:rPr>
          <w:color w:val="auto"/>
        </w:rPr>
      </w:pPr>
    </w:p>
    <w:p>
      <w:pPr>
        <w:pStyle w:val="73"/>
        <w:wordWrap w:val="0"/>
        <w:spacing w:line="360" w:lineRule="auto"/>
        <w:rPr>
          <w:rFonts w:ascii="宋体" w:hAnsi="宋体"/>
          <w:color w:val="auto"/>
          <w:lang w:bidi="ar"/>
        </w:rPr>
      </w:pPr>
    </w:p>
    <w:p>
      <w:pPr>
        <w:rPr>
          <w:color w:val="auto"/>
        </w:rPr>
      </w:pPr>
    </w:p>
    <w:sectPr>
      <w:headerReference r:id="rId4" w:type="default"/>
      <w:footerReference r:id="rId5"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Consolas">
    <w:altName w:val="Liberation Sans Narrow"/>
    <w:panose1 w:val="020B0609020204030204"/>
    <w:charset w:val="00"/>
    <w:family w:val="modern"/>
    <w:pitch w:val="default"/>
    <w:sig w:usb0="00000000" w:usb1="00000000" w:usb2="00000000" w:usb3="00000000" w:csb0="2000009F" w:csb1="00000000"/>
  </w:font>
  <w:font w:name="Times">
    <w:altName w:val="Nimbus Roman No9 L"/>
    <w:panose1 w:val="02020603050405020304"/>
    <w:charset w:val="00"/>
    <w:family w:val="roman"/>
    <w:pitch w:val="default"/>
    <w:sig w:usb0="00000000" w:usb1="00000000" w:usb2="00000009" w:usb3="00000000" w:csb0="000001FF" w:csb1="00000000"/>
  </w:font>
  <w:font w:name="仿宋_GB2312">
    <w:altName w:val="方正仿宋_GBK"/>
    <w:panose1 w:val="02010609030101010101"/>
    <w:charset w:val="86"/>
    <w:family w:val="auto"/>
    <w:pitch w:val="default"/>
    <w:sig w:usb0="00000000" w:usb1="00000000" w:usb2="00000000" w:usb3="00000000" w:csb0="00040000" w:csb1="00000000"/>
  </w:font>
  <w:font w:name="宋体-方正超大字符集">
    <w:altName w:val="方正书宋_GBK"/>
    <w:panose1 w:val="00000000000000000000"/>
    <w:charset w:val="86"/>
    <w:family w:val="script"/>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YD">
    <w15:presenceInfo w15:providerId="WPS Office" w15:userId="3429384849"/>
  </w15:person>
  <w15:person w15:author="bgs">
    <w15:presenceInfo w15:providerId="None" w15:userId="b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kYTQ5NGRjMzFjYzk5MzViODA5OGUyNWU5NmFmNzIifQ=="/>
  </w:docVars>
  <w:rsids>
    <w:rsidRoot w:val="200E3420"/>
    <w:rsid w:val="000049A3"/>
    <w:rsid w:val="00005B69"/>
    <w:rsid w:val="00005D12"/>
    <w:rsid w:val="00014A12"/>
    <w:rsid w:val="0002545E"/>
    <w:rsid w:val="000305C7"/>
    <w:rsid w:val="000308F7"/>
    <w:rsid w:val="00031235"/>
    <w:rsid w:val="0005003D"/>
    <w:rsid w:val="00050757"/>
    <w:rsid w:val="00053643"/>
    <w:rsid w:val="00055505"/>
    <w:rsid w:val="00060F65"/>
    <w:rsid w:val="000616B5"/>
    <w:rsid w:val="0006179C"/>
    <w:rsid w:val="00061DA4"/>
    <w:rsid w:val="0006234F"/>
    <w:rsid w:val="0006424C"/>
    <w:rsid w:val="00070B90"/>
    <w:rsid w:val="00073708"/>
    <w:rsid w:val="00073940"/>
    <w:rsid w:val="000833EC"/>
    <w:rsid w:val="00083572"/>
    <w:rsid w:val="00094709"/>
    <w:rsid w:val="00096063"/>
    <w:rsid w:val="000969A7"/>
    <w:rsid w:val="000A14DE"/>
    <w:rsid w:val="000A16F4"/>
    <w:rsid w:val="000A41AD"/>
    <w:rsid w:val="000A4692"/>
    <w:rsid w:val="000B293E"/>
    <w:rsid w:val="000C4C71"/>
    <w:rsid w:val="000C5FF9"/>
    <w:rsid w:val="000D5F5E"/>
    <w:rsid w:val="000E0C2A"/>
    <w:rsid w:val="000E27C3"/>
    <w:rsid w:val="000F486A"/>
    <w:rsid w:val="000F69A0"/>
    <w:rsid w:val="000F7892"/>
    <w:rsid w:val="00102377"/>
    <w:rsid w:val="001027B6"/>
    <w:rsid w:val="00114276"/>
    <w:rsid w:val="0011484D"/>
    <w:rsid w:val="00115A5B"/>
    <w:rsid w:val="00116D82"/>
    <w:rsid w:val="00117264"/>
    <w:rsid w:val="00123679"/>
    <w:rsid w:val="00126552"/>
    <w:rsid w:val="00130095"/>
    <w:rsid w:val="00133E3F"/>
    <w:rsid w:val="00136ADB"/>
    <w:rsid w:val="001402AB"/>
    <w:rsid w:val="0014065F"/>
    <w:rsid w:val="00154038"/>
    <w:rsid w:val="00155D1E"/>
    <w:rsid w:val="00156A26"/>
    <w:rsid w:val="00160D11"/>
    <w:rsid w:val="00165538"/>
    <w:rsid w:val="001702D6"/>
    <w:rsid w:val="001816A4"/>
    <w:rsid w:val="0018530E"/>
    <w:rsid w:val="00196E96"/>
    <w:rsid w:val="001A2314"/>
    <w:rsid w:val="001A47FD"/>
    <w:rsid w:val="001B374D"/>
    <w:rsid w:val="001B3E22"/>
    <w:rsid w:val="001D5FE6"/>
    <w:rsid w:val="001D6A4A"/>
    <w:rsid w:val="001F6895"/>
    <w:rsid w:val="00200F9D"/>
    <w:rsid w:val="00201418"/>
    <w:rsid w:val="0021182A"/>
    <w:rsid w:val="00217BAF"/>
    <w:rsid w:val="00222F27"/>
    <w:rsid w:val="0023381D"/>
    <w:rsid w:val="002362EA"/>
    <w:rsid w:val="002371DB"/>
    <w:rsid w:val="002448FA"/>
    <w:rsid w:val="002458E3"/>
    <w:rsid w:val="0025780D"/>
    <w:rsid w:val="00262CBA"/>
    <w:rsid w:val="0026339E"/>
    <w:rsid w:val="002643C3"/>
    <w:rsid w:val="00264ADD"/>
    <w:rsid w:val="00271C9D"/>
    <w:rsid w:val="0027408A"/>
    <w:rsid w:val="00276FAC"/>
    <w:rsid w:val="0028325C"/>
    <w:rsid w:val="00285403"/>
    <w:rsid w:val="00286610"/>
    <w:rsid w:val="00287E26"/>
    <w:rsid w:val="00293FCD"/>
    <w:rsid w:val="00297A1A"/>
    <w:rsid w:val="002A3168"/>
    <w:rsid w:val="002A3E76"/>
    <w:rsid w:val="002B795B"/>
    <w:rsid w:val="002C296A"/>
    <w:rsid w:val="002C4B51"/>
    <w:rsid w:val="002D3EB4"/>
    <w:rsid w:val="002D4D72"/>
    <w:rsid w:val="002D4E23"/>
    <w:rsid w:val="002E3E7F"/>
    <w:rsid w:val="002F2BF0"/>
    <w:rsid w:val="002F3A77"/>
    <w:rsid w:val="0030068D"/>
    <w:rsid w:val="0030308F"/>
    <w:rsid w:val="00317064"/>
    <w:rsid w:val="00322E97"/>
    <w:rsid w:val="003264FA"/>
    <w:rsid w:val="00337876"/>
    <w:rsid w:val="00341577"/>
    <w:rsid w:val="00347542"/>
    <w:rsid w:val="00352429"/>
    <w:rsid w:val="00354C1A"/>
    <w:rsid w:val="003614DA"/>
    <w:rsid w:val="003642E8"/>
    <w:rsid w:val="00367B83"/>
    <w:rsid w:val="00367B93"/>
    <w:rsid w:val="00375950"/>
    <w:rsid w:val="0038141E"/>
    <w:rsid w:val="00381F74"/>
    <w:rsid w:val="00383618"/>
    <w:rsid w:val="00390BCF"/>
    <w:rsid w:val="00396207"/>
    <w:rsid w:val="003968E3"/>
    <w:rsid w:val="003A021C"/>
    <w:rsid w:val="003A220B"/>
    <w:rsid w:val="003A254F"/>
    <w:rsid w:val="003A46F8"/>
    <w:rsid w:val="003A5AFB"/>
    <w:rsid w:val="003A714E"/>
    <w:rsid w:val="003C1C00"/>
    <w:rsid w:val="003C296B"/>
    <w:rsid w:val="003C32F5"/>
    <w:rsid w:val="003C39B9"/>
    <w:rsid w:val="003C3E87"/>
    <w:rsid w:val="003D08B8"/>
    <w:rsid w:val="003D0F50"/>
    <w:rsid w:val="003D15AD"/>
    <w:rsid w:val="003D165E"/>
    <w:rsid w:val="003D2000"/>
    <w:rsid w:val="003D2366"/>
    <w:rsid w:val="003D5B63"/>
    <w:rsid w:val="003E0D12"/>
    <w:rsid w:val="003E553E"/>
    <w:rsid w:val="003F282F"/>
    <w:rsid w:val="003F793C"/>
    <w:rsid w:val="00413F02"/>
    <w:rsid w:val="0042092F"/>
    <w:rsid w:val="00424789"/>
    <w:rsid w:val="00426FD4"/>
    <w:rsid w:val="004330AA"/>
    <w:rsid w:val="00435EAB"/>
    <w:rsid w:val="004457F9"/>
    <w:rsid w:val="004520BB"/>
    <w:rsid w:val="00467C06"/>
    <w:rsid w:val="00482461"/>
    <w:rsid w:val="00486F04"/>
    <w:rsid w:val="00495109"/>
    <w:rsid w:val="004A3C6A"/>
    <w:rsid w:val="004A509E"/>
    <w:rsid w:val="004A56F4"/>
    <w:rsid w:val="004A71C2"/>
    <w:rsid w:val="004C1B4D"/>
    <w:rsid w:val="004C2A20"/>
    <w:rsid w:val="004C7E43"/>
    <w:rsid w:val="004D1FF3"/>
    <w:rsid w:val="004D3B4E"/>
    <w:rsid w:val="004D7E0C"/>
    <w:rsid w:val="004E1DE1"/>
    <w:rsid w:val="004E1E86"/>
    <w:rsid w:val="004E30E4"/>
    <w:rsid w:val="004E31F8"/>
    <w:rsid w:val="004F1ECE"/>
    <w:rsid w:val="004F28B5"/>
    <w:rsid w:val="00501CCE"/>
    <w:rsid w:val="00502887"/>
    <w:rsid w:val="00517609"/>
    <w:rsid w:val="005262B2"/>
    <w:rsid w:val="005351FC"/>
    <w:rsid w:val="00536C6C"/>
    <w:rsid w:val="00544EB0"/>
    <w:rsid w:val="005560FD"/>
    <w:rsid w:val="005607C5"/>
    <w:rsid w:val="00565322"/>
    <w:rsid w:val="005673DB"/>
    <w:rsid w:val="00570359"/>
    <w:rsid w:val="00570587"/>
    <w:rsid w:val="00573C1C"/>
    <w:rsid w:val="00574756"/>
    <w:rsid w:val="005747A3"/>
    <w:rsid w:val="00582F87"/>
    <w:rsid w:val="00583363"/>
    <w:rsid w:val="00590935"/>
    <w:rsid w:val="005A0FB6"/>
    <w:rsid w:val="005A2846"/>
    <w:rsid w:val="005A414F"/>
    <w:rsid w:val="005A4759"/>
    <w:rsid w:val="005B1B64"/>
    <w:rsid w:val="005B7850"/>
    <w:rsid w:val="005C10D9"/>
    <w:rsid w:val="005C2CB7"/>
    <w:rsid w:val="005C43A0"/>
    <w:rsid w:val="005D0D09"/>
    <w:rsid w:val="005E2FE7"/>
    <w:rsid w:val="005F021B"/>
    <w:rsid w:val="005F19F5"/>
    <w:rsid w:val="005F4464"/>
    <w:rsid w:val="005F6C4D"/>
    <w:rsid w:val="00601FE5"/>
    <w:rsid w:val="006051E5"/>
    <w:rsid w:val="00614234"/>
    <w:rsid w:val="00615711"/>
    <w:rsid w:val="0061777A"/>
    <w:rsid w:val="00622E86"/>
    <w:rsid w:val="00624AF6"/>
    <w:rsid w:val="006256E3"/>
    <w:rsid w:val="0063219E"/>
    <w:rsid w:val="00634061"/>
    <w:rsid w:val="00642C41"/>
    <w:rsid w:val="00644998"/>
    <w:rsid w:val="006560C5"/>
    <w:rsid w:val="006570C3"/>
    <w:rsid w:val="0067071A"/>
    <w:rsid w:val="00673E89"/>
    <w:rsid w:val="00675AC1"/>
    <w:rsid w:val="00677086"/>
    <w:rsid w:val="0068049B"/>
    <w:rsid w:val="006812D9"/>
    <w:rsid w:val="00685312"/>
    <w:rsid w:val="00695970"/>
    <w:rsid w:val="006A18F2"/>
    <w:rsid w:val="006A1BAB"/>
    <w:rsid w:val="006A476D"/>
    <w:rsid w:val="006B2659"/>
    <w:rsid w:val="006B7B99"/>
    <w:rsid w:val="006C0AC3"/>
    <w:rsid w:val="006C44FD"/>
    <w:rsid w:val="006C765C"/>
    <w:rsid w:val="006C7AE3"/>
    <w:rsid w:val="006D1CF2"/>
    <w:rsid w:val="006D6CD7"/>
    <w:rsid w:val="006E1CD5"/>
    <w:rsid w:val="0070033F"/>
    <w:rsid w:val="0070347E"/>
    <w:rsid w:val="00727ADB"/>
    <w:rsid w:val="007300F6"/>
    <w:rsid w:val="007413B3"/>
    <w:rsid w:val="007475EA"/>
    <w:rsid w:val="00751DA6"/>
    <w:rsid w:val="0075684B"/>
    <w:rsid w:val="00757708"/>
    <w:rsid w:val="007668C6"/>
    <w:rsid w:val="00767AE1"/>
    <w:rsid w:val="00780885"/>
    <w:rsid w:val="00782F3B"/>
    <w:rsid w:val="007840BB"/>
    <w:rsid w:val="007924D6"/>
    <w:rsid w:val="0079436C"/>
    <w:rsid w:val="007944C6"/>
    <w:rsid w:val="007A1FFD"/>
    <w:rsid w:val="007B117E"/>
    <w:rsid w:val="007B1B4A"/>
    <w:rsid w:val="007B3B27"/>
    <w:rsid w:val="007B3C8C"/>
    <w:rsid w:val="007B6F8E"/>
    <w:rsid w:val="007C1A91"/>
    <w:rsid w:val="007C691D"/>
    <w:rsid w:val="007D43B4"/>
    <w:rsid w:val="007D484C"/>
    <w:rsid w:val="007D540F"/>
    <w:rsid w:val="007E3B12"/>
    <w:rsid w:val="007F187F"/>
    <w:rsid w:val="007F4654"/>
    <w:rsid w:val="007F6657"/>
    <w:rsid w:val="0080049E"/>
    <w:rsid w:val="00806DF6"/>
    <w:rsid w:val="008118A5"/>
    <w:rsid w:val="00814A22"/>
    <w:rsid w:val="00826A5E"/>
    <w:rsid w:val="00830C2B"/>
    <w:rsid w:val="00845D4D"/>
    <w:rsid w:val="0085198C"/>
    <w:rsid w:val="00851E03"/>
    <w:rsid w:val="00853B0C"/>
    <w:rsid w:val="00865082"/>
    <w:rsid w:val="008669DF"/>
    <w:rsid w:val="008725AC"/>
    <w:rsid w:val="00876B89"/>
    <w:rsid w:val="00885C6B"/>
    <w:rsid w:val="008933F6"/>
    <w:rsid w:val="00895CA9"/>
    <w:rsid w:val="00897D2D"/>
    <w:rsid w:val="008A24AC"/>
    <w:rsid w:val="008A6228"/>
    <w:rsid w:val="008B5BBD"/>
    <w:rsid w:val="008B71BB"/>
    <w:rsid w:val="008C43CB"/>
    <w:rsid w:val="008C4BD5"/>
    <w:rsid w:val="008D04D0"/>
    <w:rsid w:val="008D4C5A"/>
    <w:rsid w:val="008D5890"/>
    <w:rsid w:val="008D5FAE"/>
    <w:rsid w:val="008E6BD1"/>
    <w:rsid w:val="008F0055"/>
    <w:rsid w:val="009060CD"/>
    <w:rsid w:val="009103E1"/>
    <w:rsid w:val="009116AA"/>
    <w:rsid w:val="009134DF"/>
    <w:rsid w:val="00914BA4"/>
    <w:rsid w:val="00915900"/>
    <w:rsid w:val="00921603"/>
    <w:rsid w:val="00921A63"/>
    <w:rsid w:val="00921BE3"/>
    <w:rsid w:val="0092223E"/>
    <w:rsid w:val="00927C79"/>
    <w:rsid w:val="009317C3"/>
    <w:rsid w:val="00932579"/>
    <w:rsid w:val="00932A74"/>
    <w:rsid w:val="00935A20"/>
    <w:rsid w:val="009366A9"/>
    <w:rsid w:val="009422C6"/>
    <w:rsid w:val="00943E3E"/>
    <w:rsid w:val="00946156"/>
    <w:rsid w:val="00955AC8"/>
    <w:rsid w:val="009632BB"/>
    <w:rsid w:val="009669EF"/>
    <w:rsid w:val="00973139"/>
    <w:rsid w:val="00980406"/>
    <w:rsid w:val="00982CEA"/>
    <w:rsid w:val="009832DD"/>
    <w:rsid w:val="00984C7C"/>
    <w:rsid w:val="00986473"/>
    <w:rsid w:val="00995092"/>
    <w:rsid w:val="009B1171"/>
    <w:rsid w:val="009C0E6C"/>
    <w:rsid w:val="009C1C32"/>
    <w:rsid w:val="009C2C0C"/>
    <w:rsid w:val="009C62D0"/>
    <w:rsid w:val="009D2C86"/>
    <w:rsid w:val="009D2DB6"/>
    <w:rsid w:val="009D3BED"/>
    <w:rsid w:val="009D4E07"/>
    <w:rsid w:val="009D5BD3"/>
    <w:rsid w:val="009E3B38"/>
    <w:rsid w:val="009F25B6"/>
    <w:rsid w:val="009F3A6C"/>
    <w:rsid w:val="00A05579"/>
    <w:rsid w:val="00A06265"/>
    <w:rsid w:val="00A162EB"/>
    <w:rsid w:val="00A20058"/>
    <w:rsid w:val="00A27602"/>
    <w:rsid w:val="00A3048B"/>
    <w:rsid w:val="00A31D78"/>
    <w:rsid w:val="00A3390E"/>
    <w:rsid w:val="00A3427C"/>
    <w:rsid w:val="00A36151"/>
    <w:rsid w:val="00A37180"/>
    <w:rsid w:val="00A37F17"/>
    <w:rsid w:val="00A37F6F"/>
    <w:rsid w:val="00A43513"/>
    <w:rsid w:val="00A438F3"/>
    <w:rsid w:val="00A44BDA"/>
    <w:rsid w:val="00A47349"/>
    <w:rsid w:val="00A47919"/>
    <w:rsid w:val="00A50F6B"/>
    <w:rsid w:val="00A51088"/>
    <w:rsid w:val="00A515CC"/>
    <w:rsid w:val="00A61E88"/>
    <w:rsid w:val="00A62419"/>
    <w:rsid w:val="00A63B05"/>
    <w:rsid w:val="00A769E3"/>
    <w:rsid w:val="00A84427"/>
    <w:rsid w:val="00A90785"/>
    <w:rsid w:val="00AA0DAB"/>
    <w:rsid w:val="00AA4758"/>
    <w:rsid w:val="00AA48E9"/>
    <w:rsid w:val="00AB18CE"/>
    <w:rsid w:val="00AC06E5"/>
    <w:rsid w:val="00AC3389"/>
    <w:rsid w:val="00AC598C"/>
    <w:rsid w:val="00AF1857"/>
    <w:rsid w:val="00AF70FF"/>
    <w:rsid w:val="00B0097B"/>
    <w:rsid w:val="00B0507A"/>
    <w:rsid w:val="00B12C29"/>
    <w:rsid w:val="00B14C0E"/>
    <w:rsid w:val="00B15EEA"/>
    <w:rsid w:val="00B16CA1"/>
    <w:rsid w:val="00B16CB3"/>
    <w:rsid w:val="00B1703E"/>
    <w:rsid w:val="00B2293E"/>
    <w:rsid w:val="00B30FCF"/>
    <w:rsid w:val="00B33773"/>
    <w:rsid w:val="00B4782A"/>
    <w:rsid w:val="00B50A49"/>
    <w:rsid w:val="00B52B12"/>
    <w:rsid w:val="00B54B0A"/>
    <w:rsid w:val="00B54CD2"/>
    <w:rsid w:val="00B553DB"/>
    <w:rsid w:val="00B61769"/>
    <w:rsid w:val="00B63ED4"/>
    <w:rsid w:val="00B64992"/>
    <w:rsid w:val="00B70F03"/>
    <w:rsid w:val="00B72A44"/>
    <w:rsid w:val="00B737DC"/>
    <w:rsid w:val="00B828B9"/>
    <w:rsid w:val="00B832DD"/>
    <w:rsid w:val="00B84456"/>
    <w:rsid w:val="00B90534"/>
    <w:rsid w:val="00B92BF6"/>
    <w:rsid w:val="00B95082"/>
    <w:rsid w:val="00BA10FA"/>
    <w:rsid w:val="00BA21E2"/>
    <w:rsid w:val="00BA2922"/>
    <w:rsid w:val="00BA6792"/>
    <w:rsid w:val="00BA6B0A"/>
    <w:rsid w:val="00BB070C"/>
    <w:rsid w:val="00BB387A"/>
    <w:rsid w:val="00BB65AC"/>
    <w:rsid w:val="00BB6E05"/>
    <w:rsid w:val="00BC4D50"/>
    <w:rsid w:val="00BC6E98"/>
    <w:rsid w:val="00BC7BD2"/>
    <w:rsid w:val="00BD300C"/>
    <w:rsid w:val="00BD50B2"/>
    <w:rsid w:val="00BD5401"/>
    <w:rsid w:val="00BE1936"/>
    <w:rsid w:val="00BE3A69"/>
    <w:rsid w:val="00BE5741"/>
    <w:rsid w:val="00BE7EC0"/>
    <w:rsid w:val="00BF1DDA"/>
    <w:rsid w:val="00BF46B3"/>
    <w:rsid w:val="00BF5612"/>
    <w:rsid w:val="00C2527D"/>
    <w:rsid w:val="00C254E2"/>
    <w:rsid w:val="00C26431"/>
    <w:rsid w:val="00C33CBB"/>
    <w:rsid w:val="00C365B2"/>
    <w:rsid w:val="00C3667C"/>
    <w:rsid w:val="00C3737E"/>
    <w:rsid w:val="00C37861"/>
    <w:rsid w:val="00C408AD"/>
    <w:rsid w:val="00C41CE4"/>
    <w:rsid w:val="00C45030"/>
    <w:rsid w:val="00C54A28"/>
    <w:rsid w:val="00C6289B"/>
    <w:rsid w:val="00C70EF4"/>
    <w:rsid w:val="00C77087"/>
    <w:rsid w:val="00C77E14"/>
    <w:rsid w:val="00C81249"/>
    <w:rsid w:val="00C813E3"/>
    <w:rsid w:val="00C85774"/>
    <w:rsid w:val="00C85E89"/>
    <w:rsid w:val="00C974EF"/>
    <w:rsid w:val="00CA1EC9"/>
    <w:rsid w:val="00CA7C06"/>
    <w:rsid w:val="00CA7EEA"/>
    <w:rsid w:val="00CB5DC1"/>
    <w:rsid w:val="00CB7E1A"/>
    <w:rsid w:val="00CC467A"/>
    <w:rsid w:val="00CC5514"/>
    <w:rsid w:val="00CD32B3"/>
    <w:rsid w:val="00CD6049"/>
    <w:rsid w:val="00CE7B95"/>
    <w:rsid w:val="00CF1515"/>
    <w:rsid w:val="00CF256B"/>
    <w:rsid w:val="00D032D3"/>
    <w:rsid w:val="00D104CE"/>
    <w:rsid w:val="00D20534"/>
    <w:rsid w:val="00D25267"/>
    <w:rsid w:val="00D25B96"/>
    <w:rsid w:val="00D30379"/>
    <w:rsid w:val="00D314A8"/>
    <w:rsid w:val="00D3251D"/>
    <w:rsid w:val="00D35AAB"/>
    <w:rsid w:val="00D364F6"/>
    <w:rsid w:val="00D4229B"/>
    <w:rsid w:val="00D43D18"/>
    <w:rsid w:val="00D520D9"/>
    <w:rsid w:val="00D5221E"/>
    <w:rsid w:val="00D6130E"/>
    <w:rsid w:val="00D672E8"/>
    <w:rsid w:val="00D72200"/>
    <w:rsid w:val="00D81A58"/>
    <w:rsid w:val="00D81D0D"/>
    <w:rsid w:val="00D8277C"/>
    <w:rsid w:val="00D87294"/>
    <w:rsid w:val="00DB6925"/>
    <w:rsid w:val="00DB76A0"/>
    <w:rsid w:val="00DB7ECE"/>
    <w:rsid w:val="00DC0E1E"/>
    <w:rsid w:val="00DC207B"/>
    <w:rsid w:val="00DC4790"/>
    <w:rsid w:val="00DC5DB6"/>
    <w:rsid w:val="00DC60DD"/>
    <w:rsid w:val="00DD6033"/>
    <w:rsid w:val="00DE25F9"/>
    <w:rsid w:val="00DF1C96"/>
    <w:rsid w:val="00DF6851"/>
    <w:rsid w:val="00DF708C"/>
    <w:rsid w:val="00E03CF0"/>
    <w:rsid w:val="00E044D4"/>
    <w:rsid w:val="00E05377"/>
    <w:rsid w:val="00E219AA"/>
    <w:rsid w:val="00E24E87"/>
    <w:rsid w:val="00E343C0"/>
    <w:rsid w:val="00E34C13"/>
    <w:rsid w:val="00E35ED4"/>
    <w:rsid w:val="00E5646F"/>
    <w:rsid w:val="00E579BF"/>
    <w:rsid w:val="00E74973"/>
    <w:rsid w:val="00E7564C"/>
    <w:rsid w:val="00E834EE"/>
    <w:rsid w:val="00E90BF5"/>
    <w:rsid w:val="00E956A7"/>
    <w:rsid w:val="00EA1357"/>
    <w:rsid w:val="00EB01EE"/>
    <w:rsid w:val="00EB3F09"/>
    <w:rsid w:val="00EB4FDB"/>
    <w:rsid w:val="00EB60B2"/>
    <w:rsid w:val="00EC3E02"/>
    <w:rsid w:val="00EC5119"/>
    <w:rsid w:val="00EC5FF2"/>
    <w:rsid w:val="00ED7028"/>
    <w:rsid w:val="00EE1489"/>
    <w:rsid w:val="00EE2031"/>
    <w:rsid w:val="00EF2DDA"/>
    <w:rsid w:val="00EF2EA3"/>
    <w:rsid w:val="00EF5BA2"/>
    <w:rsid w:val="00F06432"/>
    <w:rsid w:val="00F069BE"/>
    <w:rsid w:val="00F077B1"/>
    <w:rsid w:val="00F13CE9"/>
    <w:rsid w:val="00F14306"/>
    <w:rsid w:val="00F21863"/>
    <w:rsid w:val="00F22D2A"/>
    <w:rsid w:val="00F26F8A"/>
    <w:rsid w:val="00F30B46"/>
    <w:rsid w:val="00F40FF6"/>
    <w:rsid w:val="00F431D9"/>
    <w:rsid w:val="00F4505F"/>
    <w:rsid w:val="00F47653"/>
    <w:rsid w:val="00F53CF0"/>
    <w:rsid w:val="00F6284A"/>
    <w:rsid w:val="00F63C8F"/>
    <w:rsid w:val="00F703BB"/>
    <w:rsid w:val="00F71B80"/>
    <w:rsid w:val="00F72067"/>
    <w:rsid w:val="00F724D3"/>
    <w:rsid w:val="00F73C79"/>
    <w:rsid w:val="00F769FB"/>
    <w:rsid w:val="00F76BB5"/>
    <w:rsid w:val="00F85CEA"/>
    <w:rsid w:val="00F9035D"/>
    <w:rsid w:val="00FA6951"/>
    <w:rsid w:val="00FB3E24"/>
    <w:rsid w:val="00FB5526"/>
    <w:rsid w:val="00FB6B65"/>
    <w:rsid w:val="00FC0999"/>
    <w:rsid w:val="00FC29C3"/>
    <w:rsid w:val="00FC32D2"/>
    <w:rsid w:val="00FF4E66"/>
    <w:rsid w:val="00FF6053"/>
    <w:rsid w:val="00FF6CB7"/>
    <w:rsid w:val="00FF7934"/>
    <w:rsid w:val="01001B5E"/>
    <w:rsid w:val="01042CD0"/>
    <w:rsid w:val="010D427B"/>
    <w:rsid w:val="010F31C2"/>
    <w:rsid w:val="01161381"/>
    <w:rsid w:val="01205D5C"/>
    <w:rsid w:val="01214B27"/>
    <w:rsid w:val="0140055C"/>
    <w:rsid w:val="015772A4"/>
    <w:rsid w:val="015D22F0"/>
    <w:rsid w:val="01C25759"/>
    <w:rsid w:val="01C663FA"/>
    <w:rsid w:val="01F74F65"/>
    <w:rsid w:val="0213182E"/>
    <w:rsid w:val="02310398"/>
    <w:rsid w:val="023E4E61"/>
    <w:rsid w:val="025E5F48"/>
    <w:rsid w:val="027C24D3"/>
    <w:rsid w:val="029702A0"/>
    <w:rsid w:val="02AE1EF0"/>
    <w:rsid w:val="02B9475D"/>
    <w:rsid w:val="02DE5ECF"/>
    <w:rsid w:val="02ED6275"/>
    <w:rsid w:val="03085D33"/>
    <w:rsid w:val="03404493"/>
    <w:rsid w:val="03433852"/>
    <w:rsid w:val="034B6409"/>
    <w:rsid w:val="035C61F4"/>
    <w:rsid w:val="03621338"/>
    <w:rsid w:val="03784884"/>
    <w:rsid w:val="038A3960"/>
    <w:rsid w:val="038E1794"/>
    <w:rsid w:val="03993BA4"/>
    <w:rsid w:val="03A17BA8"/>
    <w:rsid w:val="03AB5D95"/>
    <w:rsid w:val="03E45465"/>
    <w:rsid w:val="040D7FAB"/>
    <w:rsid w:val="04223B99"/>
    <w:rsid w:val="04247911"/>
    <w:rsid w:val="042D2EE1"/>
    <w:rsid w:val="04354D48"/>
    <w:rsid w:val="043E5CA0"/>
    <w:rsid w:val="0440503D"/>
    <w:rsid w:val="044E498E"/>
    <w:rsid w:val="046248DD"/>
    <w:rsid w:val="047937EE"/>
    <w:rsid w:val="047D3094"/>
    <w:rsid w:val="04926F7C"/>
    <w:rsid w:val="04A93323"/>
    <w:rsid w:val="04AF4629"/>
    <w:rsid w:val="04B769D7"/>
    <w:rsid w:val="05171224"/>
    <w:rsid w:val="05300538"/>
    <w:rsid w:val="05405B37"/>
    <w:rsid w:val="054A15F9"/>
    <w:rsid w:val="055661F0"/>
    <w:rsid w:val="05590EC0"/>
    <w:rsid w:val="055A452F"/>
    <w:rsid w:val="05882122"/>
    <w:rsid w:val="05A552D0"/>
    <w:rsid w:val="05C84C14"/>
    <w:rsid w:val="05D47115"/>
    <w:rsid w:val="05DD246D"/>
    <w:rsid w:val="060A6FDB"/>
    <w:rsid w:val="0615364D"/>
    <w:rsid w:val="06510766"/>
    <w:rsid w:val="065B7E70"/>
    <w:rsid w:val="067B6C86"/>
    <w:rsid w:val="068943A3"/>
    <w:rsid w:val="06A13402"/>
    <w:rsid w:val="06A92350"/>
    <w:rsid w:val="06AF3BB6"/>
    <w:rsid w:val="06BF7DC5"/>
    <w:rsid w:val="06CB7901"/>
    <w:rsid w:val="06EB709F"/>
    <w:rsid w:val="06F76824"/>
    <w:rsid w:val="07027CB2"/>
    <w:rsid w:val="0708176C"/>
    <w:rsid w:val="070B125C"/>
    <w:rsid w:val="0714483A"/>
    <w:rsid w:val="07205272"/>
    <w:rsid w:val="0721638A"/>
    <w:rsid w:val="0726771F"/>
    <w:rsid w:val="07373DFF"/>
    <w:rsid w:val="07547339"/>
    <w:rsid w:val="07681384"/>
    <w:rsid w:val="076D15CF"/>
    <w:rsid w:val="07834772"/>
    <w:rsid w:val="07881F14"/>
    <w:rsid w:val="07950B26"/>
    <w:rsid w:val="079770BD"/>
    <w:rsid w:val="07A9483C"/>
    <w:rsid w:val="07B90CB8"/>
    <w:rsid w:val="07C94F20"/>
    <w:rsid w:val="07EC6998"/>
    <w:rsid w:val="08326375"/>
    <w:rsid w:val="08395955"/>
    <w:rsid w:val="083B38DA"/>
    <w:rsid w:val="085C07B4"/>
    <w:rsid w:val="086C7AD9"/>
    <w:rsid w:val="08793814"/>
    <w:rsid w:val="08B54622"/>
    <w:rsid w:val="08B651F8"/>
    <w:rsid w:val="08D105CF"/>
    <w:rsid w:val="08E36C5D"/>
    <w:rsid w:val="08EB30F3"/>
    <w:rsid w:val="090141AE"/>
    <w:rsid w:val="09104C43"/>
    <w:rsid w:val="091A108D"/>
    <w:rsid w:val="092D370C"/>
    <w:rsid w:val="097428B1"/>
    <w:rsid w:val="098047A9"/>
    <w:rsid w:val="09812578"/>
    <w:rsid w:val="098E3A7F"/>
    <w:rsid w:val="099A2423"/>
    <w:rsid w:val="099F5C8C"/>
    <w:rsid w:val="09B63701"/>
    <w:rsid w:val="09E0252C"/>
    <w:rsid w:val="09F47D86"/>
    <w:rsid w:val="0A1A0F85"/>
    <w:rsid w:val="0A2A7C4B"/>
    <w:rsid w:val="0A6B2F83"/>
    <w:rsid w:val="0A8530D4"/>
    <w:rsid w:val="0A8C4462"/>
    <w:rsid w:val="0AA66F30"/>
    <w:rsid w:val="0AC97464"/>
    <w:rsid w:val="0ACB4F8A"/>
    <w:rsid w:val="0B076EF9"/>
    <w:rsid w:val="0B1840F3"/>
    <w:rsid w:val="0B362C2E"/>
    <w:rsid w:val="0B4765DB"/>
    <w:rsid w:val="0B531BA6"/>
    <w:rsid w:val="0B564137"/>
    <w:rsid w:val="0B6F4C92"/>
    <w:rsid w:val="0B792059"/>
    <w:rsid w:val="0BA3331A"/>
    <w:rsid w:val="0BB71A9C"/>
    <w:rsid w:val="0BBC2B25"/>
    <w:rsid w:val="0BC173C1"/>
    <w:rsid w:val="0BEE14F3"/>
    <w:rsid w:val="0C053B52"/>
    <w:rsid w:val="0C0544CC"/>
    <w:rsid w:val="0C0B6212"/>
    <w:rsid w:val="0C0C7E55"/>
    <w:rsid w:val="0C104C1F"/>
    <w:rsid w:val="0C1D6200"/>
    <w:rsid w:val="0C222931"/>
    <w:rsid w:val="0C2D7234"/>
    <w:rsid w:val="0C36131D"/>
    <w:rsid w:val="0C53395F"/>
    <w:rsid w:val="0C5965C6"/>
    <w:rsid w:val="0CB851F0"/>
    <w:rsid w:val="0CEF4270"/>
    <w:rsid w:val="0CF944DF"/>
    <w:rsid w:val="0D4136B9"/>
    <w:rsid w:val="0D4F3ECC"/>
    <w:rsid w:val="0D6F67E7"/>
    <w:rsid w:val="0D781C9F"/>
    <w:rsid w:val="0D8633EB"/>
    <w:rsid w:val="0D913B3D"/>
    <w:rsid w:val="0DA46163"/>
    <w:rsid w:val="0DCB52A1"/>
    <w:rsid w:val="0DD04666"/>
    <w:rsid w:val="0DF53CC6"/>
    <w:rsid w:val="0E092BBD"/>
    <w:rsid w:val="0E160D23"/>
    <w:rsid w:val="0E2055ED"/>
    <w:rsid w:val="0E331EBF"/>
    <w:rsid w:val="0E460DCC"/>
    <w:rsid w:val="0E734718"/>
    <w:rsid w:val="0E7C6A4D"/>
    <w:rsid w:val="0E7F768D"/>
    <w:rsid w:val="0E831829"/>
    <w:rsid w:val="0EAE05D2"/>
    <w:rsid w:val="0EBC4BEA"/>
    <w:rsid w:val="0EC00B7E"/>
    <w:rsid w:val="0EC346AA"/>
    <w:rsid w:val="0EE83CC3"/>
    <w:rsid w:val="0EFC69CD"/>
    <w:rsid w:val="0EFD76DC"/>
    <w:rsid w:val="0F0C791F"/>
    <w:rsid w:val="0F41250E"/>
    <w:rsid w:val="0F4C2412"/>
    <w:rsid w:val="0F7B4AA5"/>
    <w:rsid w:val="0FB029A1"/>
    <w:rsid w:val="0FFF1232"/>
    <w:rsid w:val="10152804"/>
    <w:rsid w:val="105570A4"/>
    <w:rsid w:val="10C633DB"/>
    <w:rsid w:val="10DE3FE2"/>
    <w:rsid w:val="114415F3"/>
    <w:rsid w:val="119F0F1F"/>
    <w:rsid w:val="11BC621A"/>
    <w:rsid w:val="11DF754B"/>
    <w:rsid w:val="11F34DC7"/>
    <w:rsid w:val="12413D84"/>
    <w:rsid w:val="12603BC3"/>
    <w:rsid w:val="12681311"/>
    <w:rsid w:val="12906AB9"/>
    <w:rsid w:val="12A85BB1"/>
    <w:rsid w:val="12BF5678"/>
    <w:rsid w:val="12C0719A"/>
    <w:rsid w:val="12C57143"/>
    <w:rsid w:val="12C802C8"/>
    <w:rsid w:val="12CC7AF2"/>
    <w:rsid w:val="12CF1390"/>
    <w:rsid w:val="12D90460"/>
    <w:rsid w:val="13425E94"/>
    <w:rsid w:val="13710699"/>
    <w:rsid w:val="13C3565A"/>
    <w:rsid w:val="13E54649"/>
    <w:rsid w:val="13E61AA9"/>
    <w:rsid w:val="14172FEE"/>
    <w:rsid w:val="14332B1B"/>
    <w:rsid w:val="147F5F82"/>
    <w:rsid w:val="14935F58"/>
    <w:rsid w:val="14AC4D30"/>
    <w:rsid w:val="15192D96"/>
    <w:rsid w:val="151C4634"/>
    <w:rsid w:val="1542409B"/>
    <w:rsid w:val="15497FD9"/>
    <w:rsid w:val="155C4A63"/>
    <w:rsid w:val="155D0ED5"/>
    <w:rsid w:val="155D7127"/>
    <w:rsid w:val="15604521"/>
    <w:rsid w:val="156C206D"/>
    <w:rsid w:val="156E148D"/>
    <w:rsid w:val="157102FE"/>
    <w:rsid w:val="157B135B"/>
    <w:rsid w:val="157D50D3"/>
    <w:rsid w:val="15AA0F6C"/>
    <w:rsid w:val="15D22C36"/>
    <w:rsid w:val="15F47393"/>
    <w:rsid w:val="160A134F"/>
    <w:rsid w:val="16421E79"/>
    <w:rsid w:val="166853A5"/>
    <w:rsid w:val="16691CFC"/>
    <w:rsid w:val="1696508D"/>
    <w:rsid w:val="16D1782B"/>
    <w:rsid w:val="16DC2CD2"/>
    <w:rsid w:val="170119E7"/>
    <w:rsid w:val="17114F3D"/>
    <w:rsid w:val="17264F32"/>
    <w:rsid w:val="17630304"/>
    <w:rsid w:val="17670696"/>
    <w:rsid w:val="17703681"/>
    <w:rsid w:val="17827A91"/>
    <w:rsid w:val="17B60D70"/>
    <w:rsid w:val="18046EEA"/>
    <w:rsid w:val="180A6807"/>
    <w:rsid w:val="183937F2"/>
    <w:rsid w:val="18581E27"/>
    <w:rsid w:val="18714C97"/>
    <w:rsid w:val="18A230A3"/>
    <w:rsid w:val="18E15979"/>
    <w:rsid w:val="18F57676"/>
    <w:rsid w:val="18F877CD"/>
    <w:rsid w:val="19145A63"/>
    <w:rsid w:val="192A5572"/>
    <w:rsid w:val="196A001E"/>
    <w:rsid w:val="19956387"/>
    <w:rsid w:val="199576BC"/>
    <w:rsid w:val="19B96A2A"/>
    <w:rsid w:val="19E06B20"/>
    <w:rsid w:val="19E51499"/>
    <w:rsid w:val="1A0F6EBC"/>
    <w:rsid w:val="1A206975"/>
    <w:rsid w:val="1A2E1092"/>
    <w:rsid w:val="1A2F0999"/>
    <w:rsid w:val="1A3A0683"/>
    <w:rsid w:val="1A4E703E"/>
    <w:rsid w:val="1A660624"/>
    <w:rsid w:val="1A8230F2"/>
    <w:rsid w:val="1A9D1D74"/>
    <w:rsid w:val="1ABA0B77"/>
    <w:rsid w:val="1ABF584D"/>
    <w:rsid w:val="1AC35C7E"/>
    <w:rsid w:val="1AC5013C"/>
    <w:rsid w:val="1AC90DBB"/>
    <w:rsid w:val="1AD52D7C"/>
    <w:rsid w:val="1AD85142"/>
    <w:rsid w:val="1ADA355B"/>
    <w:rsid w:val="1AEC6857"/>
    <w:rsid w:val="1AFD0A64"/>
    <w:rsid w:val="1AFD5240"/>
    <w:rsid w:val="1B1464DA"/>
    <w:rsid w:val="1B18389D"/>
    <w:rsid w:val="1B4712B4"/>
    <w:rsid w:val="1B4A1EFB"/>
    <w:rsid w:val="1B4E6AC0"/>
    <w:rsid w:val="1B59033C"/>
    <w:rsid w:val="1B591D47"/>
    <w:rsid w:val="1B7C1D69"/>
    <w:rsid w:val="1B7E1BA5"/>
    <w:rsid w:val="1BAA11EC"/>
    <w:rsid w:val="1BB90CA1"/>
    <w:rsid w:val="1BBF24AF"/>
    <w:rsid w:val="1C0727F9"/>
    <w:rsid w:val="1C310E6E"/>
    <w:rsid w:val="1C6012AB"/>
    <w:rsid w:val="1C6C5D0E"/>
    <w:rsid w:val="1C7A5C42"/>
    <w:rsid w:val="1C9C6787"/>
    <w:rsid w:val="1CAA0778"/>
    <w:rsid w:val="1CB307B7"/>
    <w:rsid w:val="1CE974F2"/>
    <w:rsid w:val="1CF06AD2"/>
    <w:rsid w:val="1CF739BD"/>
    <w:rsid w:val="1CF77E61"/>
    <w:rsid w:val="1CFA40C7"/>
    <w:rsid w:val="1D03144C"/>
    <w:rsid w:val="1D1D2E9A"/>
    <w:rsid w:val="1D4F3A1A"/>
    <w:rsid w:val="1D5A03F0"/>
    <w:rsid w:val="1D5A5087"/>
    <w:rsid w:val="1D6D0123"/>
    <w:rsid w:val="1D9236E6"/>
    <w:rsid w:val="1D9B7BE0"/>
    <w:rsid w:val="1DB13F66"/>
    <w:rsid w:val="1DB16262"/>
    <w:rsid w:val="1DC064A5"/>
    <w:rsid w:val="1DD0420E"/>
    <w:rsid w:val="1DDF0D52"/>
    <w:rsid w:val="1DE10342"/>
    <w:rsid w:val="1DEA114A"/>
    <w:rsid w:val="1DFE0D7B"/>
    <w:rsid w:val="1E393200"/>
    <w:rsid w:val="1E743613"/>
    <w:rsid w:val="1E8474D2"/>
    <w:rsid w:val="1E990AA4"/>
    <w:rsid w:val="1EA23DFC"/>
    <w:rsid w:val="1EF354C6"/>
    <w:rsid w:val="1EFD54D7"/>
    <w:rsid w:val="1F010B23"/>
    <w:rsid w:val="1F0300B3"/>
    <w:rsid w:val="1F204D21"/>
    <w:rsid w:val="1F42517D"/>
    <w:rsid w:val="1F6A2B6C"/>
    <w:rsid w:val="1FBD4A07"/>
    <w:rsid w:val="1FED72F9"/>
    <w:rsid w:val="200E3420"/>
    <w:rsid w:val="201F1E9A"/>
    <w:rsid w:val="20772E56"/>
    <w:rsid w:val="208F0761"/>
    <w:rsid w:val="20A21E92"/>
    <w:rsid w:val="20E07ADB"/>
    <w:rsid w:val="21022930"/>
    <w:rsid w:val="212060DA"/>
    <w:rsid w:val="2152200F"/>
    <w:rsid w:val="21857846"/>
    <w:rsid w:val="219F2875"/>
    <w:rsid w:val="219F4623"/>
    <w:rsid w:val="21B63F2E"/>
    <w:rsid w:val="21B6553A"/>
    <w:rsid w:val="21B93937"/>
    <w:rsid w:val="21C135B4"/>
    <w:rsid w:val="21E07116"/>
    <w:rsid w:val="22244B28"/>
    <w:rsid w:val="22260973"/>
    <w:rsid w:val="22317971"/>
    <w:rsid w:val="22881908"/>
    <w:rsid w:val="22BE2913"/>
    <w:rsid w:val="22D91657"/>
    <w:rsid w:val="22E4543C"/>
    <w:rsid w:val="22EA7B20"/>
    <w:rsid w:val="23234B20"/>
    <w:rsid w:val="232D2EBA"/>
    <w:rsid w:val="235A6A54"/>
    <w:rsid w:val="239D18F1"/>
    <w:rsid w:val="23A1013B"/>
    <w:rsid w:val="23EB1DA2"/>
    <w:rsid w:val="23F01589"/>
    <w:rsid w:val="24042E63"/>
    <w:rsid w:val="240C1F4D"/>
    <w:rsid w:val="241E2633"/>
    <w:rsid w:val="244D32E1"/>
    <w:rsid w:val="24755405"/>
    <w:rsid w:val="247D23D0"/>
    <w:rsid w:val="24873E1C"/>
    <w:rsid w:val="24CD16F0"/>
    <w:rsid w:val="24DD793C"/>
    <w:rsid w:val="24E905D9"/>
    <w:rsid w:val="24F7676B"/>
    <w:rsid w:val="250A26FB"/>
    <w:rsid w:val="251F5F98"/>
    <w:rsid w:val="25206ABC"/>
    <w:rsid w:val="25535E50"/>
    <w:rsid w:val="25545725"/>
    <w:rsid w:val="25757B41"/>
    <w:rsid w:val="259E5CB2"/>
    <w:rsid w:val="25B257C8"/>
    <w:rsid w:val="25C46C8E"/>
    <w:rsid w:val="26166DCD"/>
    <w:rsid w:val="261A071C"/>
    <w:rsid w:val="262C6B24"/>
    <w:rsid w:val="263F0183"/>
    <w:rsid w:val="264D3B10"/>
    <w:rsid w:val="265C50DF"/>
    <w:rsid w:val="26867B60"/>
    <w:rsid w:val="26AA58EB"/>
    <w:rsid w:val="26C64400"/>
    <w:rsid w:val="26D42FC1"/>
    <w:rsid w:val="26D7485F"/>
    <w:rsid w:val="26F251F8"/>
    <w:rsid w:val="27247AA4"/>
    <w:rsid w:val="273D30EB"/>
    <w:rsid w:val="27457A1B"/>
    <w:rsid w:val="27710059"/>
    <w:rsid w:val="27896A24"/>
    <w:rsid w:val="27955AB7"/>
    <w:rsid w:val="27B54BA0"/>
    <w:rsid w:val="27EC5D72"/>
    <w:rsid w:val="280F7588"/>
    <w:rsid w:val="281D51F2"/>
    <w:rsid w:val="28417B92"/>
    <w:rsid w:val="28481571"/>
    <w:rsid w:val="28652114"/>
    <w:rsid w:val="287C35DA"/>
    <w:rsid w:val="28862099"/>
    <w:rsid w:val="28A644E9"/>
    <w:rsid w:val="28D56B7C"/>
    <w:rsid w:val="28F2772E"/>
    <w:rsid w:val="29124E1C"/>
    <w:rsid w:val="29347D47"/>
    <w:rsid w:val="29365E97"/>
    <w:rsid w:val="29543F45"/>
    <w:rsid w:val="296248B4"/>
    <w:rsid w:val="29673A94"/>
    <w:rsid w:val="29995DFC"/>
    <w:rsid w:val="29A812AE"/>
    <w:rsid w:val="29E111F5"/>
    <w:rsid w:val="29F74C88"/>
    <w:rsid w:val="2A5E32CD"/>
    <w:rsid w:val="2A6428AE"/>
    <w:rsid w:val="2A73664D"/>
    <w:rsid w:val="2A7F1357"/>
    <w:rsid w:val="2A866380"/>
    <w:rsid w:val="2AA342A4"/>
    <w:rsid w:val="2B3B1C30"/>
    <w:rsid w:val="2B6911CD"/>
    <w:rsid w:val="2B9351F9"/>
    <w:rsid w:val="2B9F360B"/>
    <w:rsid w:val="2BA24A50"/>
    <w:rsid w:val="2BB5659B"/>
    <w:rsid w:val="2BF33EE9"/>
    <w:rsid w:val="2BF873FA"/>
    <w:rsid w:val="2C0C0B07"/>
    <w:rsid w:val="2C1443AA"/>
    <w:rsid w:val="2C1D2D14"/>
    <w:rsid w:val="2C1D328F"/>
    <w:rsid w:val="2C2440A3"/>
    <w:rsid w:val="2C4D184B"/>
    <w:rsid w:val="2CA06DE1"/>
    <w:rsid w:val="2CC22BD3"/>
    <w:rsid w:val="2CC83C8C"/>
    <w:rsid w:val="2D08486A"/>
    <w:rsid w:val="2D180392"/>
    <w:rsid w:val="2D297497"/>
    <w:rsid w:val="2D2F4ECF"/>
    <w:rsid w:val="2D7948F8"/>
    <w:rsid w:val="2D964B2C"/>
    <w:rsid w:val="2DC1033D"/>
    <w:rsid w:val="2DC86CB0"/>
    <w:rsid w:val="2DCD42C6"/>
    <w:rsid w:val="2DD41AF8"/>
    <w:rsid w:val="2DD815E9"/>
    <w:rsid w:val="2DDC4502"/>
    <w:rsid w:val="2DE27D71"/>
    <w:rsid w:val="2E0B376C"/>
    <w:rsid w:val="2E537B71"/>
    <w:rsid w:val="2EBA484A"/>
    <w:rsid w:val="2EC1525B"/>
    <w:rsid w:val="2EE03C9D"/>
    <w:rsid w:val="2F0D52C2"/>
    <w:rsid w:val="2F5613CC"/>
    <w:rsid w:val="2F5F3E6D"/>
    <w:rsid w:val="2FB120F1"/>
    <w:rsid w:val="2FCA33D5"/>
    <w:rsid w:val="2FCA6D0F"/>
    <w:rsid w:val="2FDB716E"/>
    <w:rsid w:val="2FE222AB"/>
    <w:rsid w:val="2FE37DD1"/>
    <w:rsid w:val="2FE778C1"/>
    <w:rsid w:val="30130A83"/>
    <w:rsid w:val="301D7787"/>
    <w:rsid w:val="303D2927"/>
    <w:rsid w:val="306A22A0"/>
    <w:rsid w:val="308415B4"/>
    <w:rsid w:val="308F421F"/>
    <w:rsid w:val="309664EA"/>
    <w:rsid w:val="309C4C79"/>
    <w:rsid w:val="30A03BD8"/>
    <w:rsid w:val="30CC52AD"/>
    <w:rsid w:val="315229C3"/>
    <w:rsid w:val="317A6513"/>
    <w:rsid w:val="318D2BDD"/>
    <w:rsid w:val="31B9703B"/>
    <w:rsid w:val="31BB2DB3"/>
    <w:rsid w:val="322E5C7B"/>
    <w:rsid w:val="322F74CA"/>
    <w:rsid w:val="3259390D"/>
    <w:rsid w:val="32785148"/>
    <w:rsid w:val="32BE5007"/>
    <w:rsid w:val="33056B2B"/>
    <w:rsid w:val="33062754"/>
    <w:rsid w:val="330A3CD4"/>
    <w:rsid w:val="330E1609"/>
    <w:rsid w:val="33152997"/>
    <w:rsid w:val="331C534D"/>
    <w:rsid w:val="33245CBD"/>
    <w:rsid w:val="335D6034"/>
    <w:rsid w:val="33775400"/>
    <w:rsid w:val="33837901"/>
    <w:rsid w:val="33AF6B46"/>
    <w:rsid w:val="33BA54E8"/>
    <w:rsid w:val="33E365F1"/>
    <w:rsid w:val="33EA08C9"/>
    <w:rsid w:val="342304E9"/>
    <w:rsid w:val="3451578B"/>
    <w:rsid w:val="345377F3"/>
    <w:rsid w:val="346D41DC"/>
    <w:rsid w:val="347857C0"/>
    <w:rsid w:val="348576A9"/>
    <w:rsid w:val="348B5DC7"/>
    <w:rsid w:val="34945B3E"/>
    <w:rsid w:val="34C208FD"/>
    <w:rsid w:val="34D128EE"/>
    <w:rsid w:val="34EB206C"/>
    <w:rsid w:val="34EE3FE3"/>
    <w:rsid w:val="351D3D85"/>
    <w:rsid w:val="351E5F82"/>
    <w:rsid w:val="35675000"/>
    <w:rsid w:val="35A41376"/>
    <w:rsid w:val="35B446E9"/>
    <w:rsid w:val="35B6283D"/>
    <w:rsid w:val="35B80D71"/>
    <w:rsid w:val="35C21F83"/>
    <w:rsid w:val="35C42453"/>
    <w:rsid w:val="35D10667"/>
    <w:rsid w:val="367479D5"/>
    <w:rsid w:val="367D284B"/>
    <w:rsid w:val="36A22794"/>
    <w:rsid w:val="36AF0498"/>
    <w:rsid w:val="36BD75CE"/>
    <w:rsid w:val="36CF10AF"/>
    <w:rsid w:val="36E0506A"/>
    <w:rsid w:val="36F33972"/>
    <w:rsid w:val="37425D25"/>
    <w:rsid w:val="37441A9D"/>
    <w:rsid w:val="374B434C"/>
    <w:rsid w:val="375066A5"/>
    <w:rsid w:val="378679C0"/>
    <w:rsid w:val="37E52D4C"/>
    <w:rsid w:val="37F6143F"/>
    <w:rsid w:val="383C4522"/>
    <w:rsid w:val="38726196"/>
    <w:rsid w:val="388A7983"/>
    <w:rsid w:val="389F77AE"/>
    <w:rsid w:val="38BD38B5"/>
    <w:rsid w:val="38C20ECB"/>
    <w:rsid w:val="38DE1A7D"/>
    <w:rsid w:val="38F002E7"/>
    <w:rsid w:val="38FE5873"/>
    <w:rsid w:val="38FF0FD9"/>
    <w:rsid w:val="390A63CE"/>
    <w:rsid w:val="391E7E8A"/>
    <w:rsid w:val="39237490"/>
    <w:rsid w:val="39257DDF"/>
    <w:rsid w:val="39372861"/>
    <w:rsid w:val="397A17A6"/>
    <w:rsid w:val="39900FC9"/>
    <w:rsid w:val="399833FA"/>
    <w:rsid w:val="399A3BD0"/>
    <w:rsid w:val="39AD3A39"/>
    <w:rsid w:val="39B90520"/>
    <w:rsid w:val="39C845B9"/>
    <w:rsid w:val="39C96289"/>
    <w:rsid w:val="39D30EB6"/>
    <w:rsid w:val="39DC7D6B"/>
    <w:rsid w:val="39F95732"/>
    <w:rsid w:val="3A023E13"/>
    <w:rsid w:val="3A086DB2"/>
    <w:rsid w:val="3A161DA8"/>
    <w:rsid w:val="3A35213B"/>
    <w:rsid w:val="3A377697"/>
    <w:rsid w:val="3A775CE5"/>
    <w:rsid w:val="3AB97E12"/>
    <w:rsid w:val="3AD269B2"/>
    <w:rsid w:val="3AD34E80"/>
    <w:rsid w:val="3AFD50BC"/>
    <w:rsid w:val="3B460513"/>
    <w:rsid w:val="3B7663F4"/>
    <w:rsid w:val="3BDD601C"/>
    <w:rsid w:val="3BE77AAF"/>
    <w:rsid w:val="3C055F11"/>
    <w:rsid w:val="3C177780"/>
    <w:rsid w:val="3C3A6FCB"/>
    <w:rsid w:val="3C7A6FD2"/>
    <w:rsid w:val="3CA81750"/>
    <w:rsid w:val="3CD1792F"/>
    <w:rsid w:val="3CE27D8E"/>
    <w:rsid w:val="3CEC60D7"/>
    <w:rsid w:val="3D032584"/>
    <w:rsid w:val="3D1E33AA"/>
    <w:rsid w:val="3D4A5933"/>
    <w:rsid w:val="3D5629B8"/>
    <w:rsid w:val="3DA633D9"/>
    <w:rsid w:val="3E3C183F"/>
    <w:rsid w:val="3E6234B2"/>
    <w:rsid w:val="3EB01478"/>
    <w:rsid w:val="3EB43004"/>
    <w:rsid w:val="3EC534C3"/>
    <w:rsid w:val="3ECD77F5"/>
    <w:rsid w:val="3F0538C0"/>
    <w:rsid w:val="3F333604"/>
    <w:rsid w:val="3F485EA2"/>
    <w:rsid w:val="3F647B7C"/>
    <w:rsid w:val="3F8B194E"/>
    <w:rsid w:val="3FB3156E"/>
    <w:rsid w:val="3FD00AE6"/>
    <w:rsid w:val="3FF102E8"/>
    <w:rsid w:val="402362FA"/>
    <w:rsid w:val="404843AC"/>
    <w:rsid w:val="408766D3"/>
    <w:rsid w:val="40EA7211"/>
    <w:rsid w:val="41B238D6"/>
    <w:rsid w:val="41C2018E"/>
    <w:rsid w:val="41C32748"/>
    <w:rsid w:val="41DC31FD"/>
    <w:rsid w:val="41FA2085"/>
    <w:rsid w:val="420E5181"/>
    <w:rsid w:val="421B301B"/>
    <w:rsid w:val="42590C07"/>
    <w:rsid w:val="42624062"/>
    <w:rsid w:val="42664FBD"/>
    <w:rsid w:val="42C87F92"/>
    <w:rsid w:val="42F04887"/>
    <w:rsid w:val="4307029E"/>
    <w:rsid w:val="43353127"/>
    <w:rsid w:val="43454BD3"/>
    <w:rsid w:val="434D1B67"/>
    <w:rsid w:val="43547DFD"/>
    <w:rsid w:val="43923B90"/>
    <w:rsid w:val="43A14AB6"/>
    <w:rsid w:val="43B6162D"/>
    <w:rsid w:val="43DB2558"/>
    <w:rsid w:val="43ED0366"/>
    <w:rsid w:val="442D1437"/>
    <w:rsid w:val="44666601"/>
    <w:rsid w:val="44A874A1"/>
    <w:rsid w:val="44B4052F"/>
    <w:rsid w:val="44DE52DF"/>
    <w:rsid w:val="44E75A5C"/>
    <w:rsid w:val="44F3065E"/>
    <w:rsid w:val="44FE23FB"/>
    <w:rsid w:val="45347B26"/>
    <w:rsid w:val="453A5810"/>
    <w:rsid w:val="455F7AA2"/>
    <w:rsid w:val="45684BA8"/>
    <w:rsid w:val="4571270A"/>
    <w:rsid w:val="45B63B66"/>
    <w:rsid w:val="45C734A1"/>
    <w:rsid w:val="45E84EEA"/>
    <w:rsid w:val="45EA70E4"/>
    <w:rsid w:val="46456C98"/>
    <w:rsid w:val="46537607"/>
    <w:rsid w:val="465D591D"/>
    <w:rsid w:val="469C0BB9"/>
    <w:rsid w:val="46AE3CCE"/>
    <w:rsid w:val="46C2653A"/>
    <w:rsid w:val="47370CD6"/>
    <w:rsid w:val="473E13FB"/>
    <w:rsid w:val="47601B73"/>
    <w:rsid w:val="477B3A7A"/>
    <w:rsid w:val="47835CCA"/>
    <w:rsid w:val="47870D1B"/>
    <w:rsid w:val="47A005E9"/>
    <w:rsid w:val="47B40579"/>
    <w:rsid w:val="47D12ED9"/>
    <w:rsid w:val="47F15329"/>
    <w:rsid w:val="47F96FE0"/>
    <w:rsid w:val="47FC0DA1"/>
    <w:rsid w:val="480D25E0"/>
    <w:rsid w:val="481039F9"/>
    <w:rsid w:val="4812529F"/>
    <w:rsid w:val="481903DC"/>
    <w:rsid w:val="484D4A39"/>
    <w:rsid w:val="48587156"/>
    <w:rsid w:val="487E46E3"/>
    <w:rsid w:val="48A57EC2"/>
    <w:rsid w:val="48F071BE"/>
    <w:rsid w:val="49025314"/>
    <w:rsid w:val="492B6619"/>
    <w:rsid w:val="49394831"/>
    <w:rsid w:val="493F0EA9"/>
    <w:rsid w:val="49425710"/>
    <w:rsid w:val="49541CF3"/>
    <w:rsid w:val="49831177"/>
    <w:rsid w:val="49A32F5E"/>
    <w:rsid w:val="49B571AA"/>
    <w:rsid w:val="49D20E1C"/>
    <w:rsid w:val="4A5C6A7C"/>
    <w:rsid w:val="4ACE3700"/>
    <w:rsid w:val="4ADE3670"/>
    <w:rsid w:val="4AEC1E04"/>
    <w:rsid w:val="4B201E4A"/>
    <w:rsid w:val="4B38326F"/>
    <w:rsid w:val="4B555BCF"/>
    <w:rsid w:val="4B5A1437"/>
    <w:rsid w:val="4BAE2868"/>
    <w:rsid w:val="4BB131B6"/>
    <w:rsid w:val="4BBF14CB"/>
    <w:rsid w:val="4BCC0195"/>
    <w:rsid w:val="4BD4187F"/>
    <w:rsid w:val="4BED78E8"/>
    <w:rsid w:val="4C1F2287"/>
    <w:rsid w:val="4C3E21E3"/>
    <w:rsid w:val="4C567E51"/>
    <w:rsid w:val="4C694F58"/>
    <w:rsid w:val="4C6E4996"/>
    <w:rsid w:val="4C7868F8"/>
    <w:rsid w:val="4C9D5A7F"/>
    <w:rsid w:val="4CD257AB"/>
    <w:rsid w:val="4CEA0599"/>
    <w:rsid w:val="4CEC6D19"/>
    <w:rsid w:val="4CF37DCD"/>
    <w:rsid w:val="4D225F85"/>
    <w:rsid w:val="4D302A71"/>
    <w:rsid w:val="4D4759EB"/>
    <w:rsid w:val="4D4B54DB"/>
    <w:rsid w:val="4D4E28D6"/>
    <w:rsid w:val="4D7D4E99"/>
    <w:rsid w:val="4D995810"/>
    <w:rsid w:val="4D9B51A3"/>
    <w:rsid w:val="4DA644C0"/>
    <w:rsid w:val="4DAA35A9"/>
    <w:rsid w:val="4DE1374A"/>
    <w:rsid w:val="4DFF0074"/>
    <w:rsid w:val="4E0336C0"/>
    <w:rsid w:val="4E0631B0"/>
    <w:rsid w:val="4E127DA7"/>
    <w:rsid w:val="4E45017D"/>
    <w:rsid w:val="4E834801"/>
    <w:rsid w:val="4E864C08"/>
    <w:rsid w:val="4EC81C5A"/>
    <w:rsid w:val="4ECD06E1"/>
    <w:rsid w:val="4EE2777A"/>
    <w:rsid w:val="4EF422D3"/>
    <w:rsid w:val="4EF460F6"/>
    <w:rsid w:val="4EFB083B"/>
    <w:rsid w:val="4F0040A4"/>
    <w:rsid w:val="4F035942"/>
    <w:rsid w:val="4F4C553B"/>
    <w:rsid w:val="4F523B96"/>
    <w:rsid w:val="4F6208BA"/>
    <w:rsid w:val="4F690A7B"/>
    <w:rsid w:val="4F6A7DA6"/>
    <w:rsid w:val="4F9A44F8"/>
    <w:rsid w:val="4FBA5197"/>
    <w:rsid w:val="4FCA0E8E"/>
    <w:rsid w:val="4FE2675C"/>
    <w:rsid w:val="4FF52F73"/>
    <w:rsid w:val="4FFC486B"/>
    <w:rsid w:val="50250266"/>
    <w:rsid w:val="504D3319"/>
    <w:rsid w:val="508036EE"/>
    <w:rsid w:val="50880902"/>
    <w:rsid w:val="508B3E41"/>
    <w:rsid w:val="50A03A90"/>
    <w:rsid w:val="50C7131D"/>
    <w:rsid w:val="510939F8"/>
    <w:rsid w:val="512C35F2"/>
    <w:rsid w:val="51354F21"/>
    <w:rsid w:val="513E2C61"/>
    <w:rsid w:val="515942F3"/>
    <w:rsid w:val="515B7CB7"/>
    <w:rsid w:val="51612C25"/>
    <w:rsid w:val="516217CC"/>
    <w:rsid w:val="518A40F8"/>
    <w:rsid w:val="51BF3DA2"/>
    <w:rsid w:val="51E71380"/>
    <w:rsid w:val="520C36E3"/>
    <w:rsid w:val="522D7F38"/>
    <w:rsid w:val="52497B10"/>
    <w:rsid w:val="526C2DF2"/>
    <w:rsid w:val="52944DCE"/>
    <w:rsid w:val="529A0F99"/>
    <w:rsid w:val="52A7475B"/>
    <w:rsid w:val="52B15DE1"/>
    <w:rsid w:val="52BC6534"/>
    <w:rsid w:val="52E77A54"/>
    <w:rsid w:val="52F43F1F"/>
    <w:rsid w:val="52F932E4"/>
    <w:rsid w:val="530740F1"/>
    <w:rsid w:val="531445C2"/>
    <w:rsid w:val="532C36B9"/>
    <w:rsid w:val="53312A7E"/>
    <w:rsid w:val="53684D05"/>
    <w:rsid w:val="537B27FC"/>
    <w:rsid w:val="53866F32"/>
    <w:rsid w:val="53867095"/>
    <w:rsid w:val="5386726D"/>
    <w:rsid w:val="539035C6"/>
    <w:rsid w:val="539D23DB"/>
    <w:rsid w:val="53FB1260"/>
    <w:rsid w:val="540F099D"/>
    <w:rsid w:val="542259F5"/>
    <w:rsid w:val="542645AC"/>
    <w:rsid w:val="54362CC9"/>
    <w:rsid w:val="545A0E79"/>
    <w:rsid w:val="54893697"/>
    <w:rsid w:val="549344FC"/>
    <w:rsid w:val="54A84FC1"/>
    <w:rsid w:val="54B95421"/>
    <w:rsid w:val="54CF69F2"/>
    <w:rsid w:val="54E40790"/>
    <w:rsid w:val="54F016FD"/>
    <w:rsid w:val="54F55D2D"/>
    <w:rsid w:val="54F85585"/>
    <w:rsid w:val="55222156"/>
    <w:rsid w:val="55273C19"/>
    <w:rsid w:val="555B2034"/>
    <w:rsid w:val="555D3FFE"/>
    <w:rsid w:val="556673BA"/>
    <w:rsid w:val="557BD963"/>
    <w:rsid w:val="55FA7A9F"/>
    <w:rsid w:val="560C3B80"/>
    <w:rsid w:val="561548D9"/>
    <w:rsid w:val="566B2449"/>
    <w:rsid w:val="56C24012"/>
    <w:rsid w:val="56C360E3"/>
    <w:rsid w:val="56F3629C"/>
    <w:rsid w:val="56F42740"/>
    <w:rsid w:val="574D4690"/>
    <w:rsid w:val="57566F57"/>
    <w:rsid w:val="57757EC0"/>
    <w:rsid w:val="578875A7"/>
    <w:rsid w:val="57BE68AA"/>
    <w:rsid w:val="57CF461B"/>
    <w:rsid w:val="57E047A3"/>
    <w:rsid w:val="57EA3B43"/>
    <w:rsid w:val="57ED2281"/>
    <w:rsid w:val="57EF525D"/>
    <w:rsid w:val="57F52C92"/>
    <w:rsid w:val="57F87BFC"/>
    <w:rsid w:val="580C1D0B"/>
    <w:rsid w:val="58360B36"/>
    <w:rsid w:val="584A07B8"/>
    <w:rsid w:val="586A55A3"/>
    <w:rsid w:val="586D1887"/>
    <w:rsid w:val="588673C8"/>
    <w:rsid w:val="588A074C"/>
    <w:rsid w:val="589715D5"/>
    <w:rsid w:val="58A41F44"/>
    <w:rsid w:val="58B3721B"/>
    <w:rsid w:val="58CE76D6"/>
    <w:rsid w:val="58D36385"/>
    <w:rsid w:val="58E6430A"/>
    <w:rsid w:val="58ED4071"/>
    <w:rsid w:val="59160217"/>
    <w:rsid w:val="5918159E"/>
    <w:rsid w:val="59266FA9"/>
    <w:rsid w:val="59550209"/>
    <w:rsid w:val="595C45CC"/>
    <w:rsid w:val="595C637A"/>
    <w:rsid w:val="59600776"/>
    <w:rsid w:val="59617E35"/>
    <w:rsid w:val="597B2CA5"/>
    <w:rsid w:val="59945565"/>
    <w:rsid w:val="599B50F5"/>
    <w:rsid w:val="59A26483"/>
    <w:rsid w:val="59A57D21"/>
    <w:rsid w:val="59F96899"/>
    <w:rsid w:val="5A0B7DC8"/>
    <w:rsid w:val="5A1C04F4"/>
    <w:rsid w:val="5A472A21"/>
    <w:rsid w:val="5A485449"/>
    <w:rsid w:val="5A491020"/>
    <w:rsid w:val="5A5B2AD6"/>
    <w:rsid w:val="5AC95C92"/>
    <w:rsid w:val="5AD51F57"/>
    <w:rsid w:val="5ADC7724"/>
    <w:rsid w:val="5AF820D3"/>
    <w:rsid w:val="5AF97ECB"/>
    <w:rsid w:val="5B10566E"/>
    <w:rsid w:val="5B3FF0D1"/>
    <w:rsid w:val="5B592AA9"/>
    <w:rsid w:val="5B5E3054"/>
    <w:rsid w:val="5B626CC2"/>
    <w:rsid w:val="5B6F63A8"/>
    <w:rsid w:val="5B972022"/>
    <w:rsid w:val="5BA2386D"/>
    <w:rsid w:val="5BA54009"/>
    <w:rsid w:val="5BB10BFF"/>
    <w:rsid w:val="5BC12421"/>
    <w:rsid w:val="5BC16969"/>
    <w:rsid w:val="5BD54E2C"/>
    <w:rsid w:val="5BE13AD6"/>
    <w:rsid w:val="5BE17C7F"/>
    <w:rsid w:val="5BFA5F25"/>
    <w:rsid w:val="5C1F1E24"/>
    <w:rsid w:val="5C2D5415"/>
    <w:rsid w:val="5C373653"/>
    <w:rsid w:val="5C4558FE"/>
    <w:rsid w:val="5C4D6523"/>
    <w:rsid w:val="5C691FF5"/>
    <w:rsid w:val="5C697E26"/>
    <w:rsid w:val="5C950521"/>
    <w:rsid w:val="5CD252D1"/>
    <w:rsid w:val="5CDB3A5A"/>
    <w:rsid w:val="5CE60D7D"/>
    <w:rsid w:val="5D013CA2"/>
    <w:rsid w:val="5D156F6C"/>
    <w:rsid w:val="5D1A6C78"/>
    <w:rsid w:val="5D50269A"/>
    <w:rsid w:val="5D5D7973"/>
    <w:rsid w:val="5D6121B1"/>
    <w:rsid w:val="5D7C523D"/>
    <w:rsid w:val="5DD31ACF"/>
    <w:rsid w:val="5DD97725"/>
    <w:rsid w:val="5E315DC7"/>
    <w:rsid w:val="5E571EB6"/>
    <w:rsid w:val="5E5B12F6"/>
    <w:rsid w:val="5E6A32E8"/>
    <w:rsid w:val="5E6E456D"/>
    <w:rsid w:val="5E794A06"/>
    <w:rsid w:val="5E86299C"/>
    <w:rsid w:val="5E987E55"/>
    <w:rsid w:val="5EA11A4A"/>
    <w:rsid w:val="5EAC7F2D"/>
    <w:rsid w:val="5EEE7865"/>
    <w:rsid w:val="5EF66D27"/>
    <w:rsid w:val="5EF86B45"/>
    <w:rsid w:val="5F1C0D18"/>
    <w:rsid w:val="5F1C2834"/>
    <w:rsid w:val="5F7476D7"/>
    <w:rsid w:val="5F762093"/>
    <w:rsid w:val="5F7F1015"/>
    <w:rsid w:val="5F8842F2"/>
    <w:rsid w:val="5FCD4259"/>
    <w:rsid w:val="5FE12BBD"/>
    <w:rsid w:val="5FE75EF6"/>
    <w:rsid w:val="5FF44301"/>
    <w:rsid w:val="5FF55CCA"/>
    <w:rsid w:val="5FFCFB18"/>
    <w:rsid w:val="602045A6"/>
    <w:rsid w:val="603E2C7E"/>
    <w:rsid w:val="60461BFA"/>
    <w:rsid w:val="609B00D0"/>
    <w:rsid w:val="60C746D3"/>
    <w:rsid w:val="60D61108"/>
    <w:rsid w:val="60D67FB4"/>
    <w:rsid w:val="61057323"/>
    <w:rsid w:val="612507AA"/>
    <w:rsid w:val="612D078D"/>
    <w:rsid w:val="61627647"/>
    <w:rsid w:val="619C7F7F"/>
    <w:rsid w:val="61CE3B8D"/>
    <w:rsid w:val="61E67129"/>
    <w:rsid w:val="61E95AB9"/>
    <w:rsid w:val="61EC7B0E"/>
    <w:rsid w:val="61FB0E26"/>
    <w:rsid w:val="624B21A1"/>
    <w:rsid w:val="62540537"/>
    <w:rsid w:val="62703656"/>
    <w:rsid w:val="62724E61"/>
    <w:rsid w:val="62812BAC"/>
    <w:rsid w:val="628C458F"/>
    <w:rsid w:val="629B6165"/>
    <w:rsid w:val="62D40ABC"/>
    <w:rsid w:val="62D942AA"/>
    <w:rsid w:val="62FE2452"/>
    <w:rsid w:val="6312045A"/>
    <w:rsid w:val="6329237C"/>
    <w:rsid w:val="63371354"/>
    <w:rsid w:val="63681A25"/>
    <w:rsid w:val="63781452"/>
    <w:rsid w:val="637A5D7B"/>
    <w:rsid w:val="63B24197"/>
    <w:rsid w:val="63CE5D8F"/>
    <w:rsid w:val="63CF6769"/>
    <w:rsid w:val="63EB32C7"/>
    <w:rsid w:val="63FE58EC"/>
    <w:rsid w:val="64085A7D"/>
    <w:rsid w:val="641B1B3B"/>
    <w:rsid w:val="643D0E60"/>
    <w:rsid w:val="643E4FFA"/>
    <w:rsid w:val="644665F8"/>
    <w:rsid w:val="646071E7"/>
    <w:rsid w:val="64782CF8"/>
    <w:rsid w:val="6490557D"/>
    <w:rsid w:val="64971858"/>
    <w:rsid w:val="64CA675F"/>
    <w:rsid w:val="64D934F7"/>
    <w:rsid w:val="64DD0CB7"/>
    <w:rsid w:val="64EC4A56"/>
    <w:rsid w:val="658678D6"/>
    <w:rsid w:val="658904F7"/>
    <w:rsid w:val="6593078C"/>
    <w:rsid w:val="65AF6DA6"/>
    <w:rsid w:val="65B0017A"/>
    <w:rsid w:val="65BC08CD"/>
    <w:rsid w:val="65BF03BD"/>
    <w:rsid w:val="66224580"/>
    <w:rsid w:val="66593300"/>
    <w:rsid w:val="6659611C"/>
    <w:rsid w:val="66682803"/>
    <w:rsid w:val="66B141AA"/>
    <w:rsid w:val="66EF6421"/>
    <w:rsid w:val="66F67940"/>
    <w:rsid w:val="66FC14DB"/>
    <w:rsid w:val="67265CBA"/>
    <w:rsid w:val="673646AF"/>
    <w:rsid w:val="67B14844"/>
    <w:rsid w:val="67CC0B6F"/>
    <w:rsid w:val="67D74FE8"/>
    <w:rsid w:val="67E5137C"/>
    <w:rsid w:val="680C6F1F"/>
    <w:rsid w:val="68142C42"/>
    <w:rsid w:val="686243E3"/>
    <w:rsid w:val="68664B20"/>
    <w:rsid w:val="6897117D"/>
    <w:rsid w:val="68B97345"/>
    <w:rsid w:val="694D68F7"/>
    <w:rsid w:val="69561038"/>
    <w:rsid w:val="696C0A53"/>
    <w:rsid w:val="69845BA5"/>
    <w:rsid w:val="698F62F8"/>
    <w:rsid w:val="69997F9C"/>
    <w:rsid w:val="6A036B99"/>
    <w:rsid w:val="6A142293"/>
    <w:rsid w:val="6A350C4E"/>
    <w:rsid w:val="6A4B0770"/>
    <w:rsid w:val="6A4E3ABD"/>
    <w:rsid w:val="6A731776"/>
    <w:rsid w:val="6A9E4A45"/>
    <w:rsid w:val="6AB948FA"/>
    <w:rsid w:val="6ABD343E"/>
    <w:rsid w:val="6AD211B7"/>
    <w:rsid w:val="6AD42215"/>
    <w:rsid w:val="6ADF0BB9"/>
    <w:rsid w:val="6AE14931"/>
    <w:rsid w:val="6AE521E9"/>
    <w:rsid w:val="6AF1726A"/>
    <w:rsid w:val="6B160A7F"/>
    <w:rsid w:val="6B16603A"/>
    <w:rsid w:val="6B170353"/>
    <w:rsid w:val="6B252A70"/>
    <w:rsid w:val="6B382D3A"/>
    <w:rsid w:val="6B563571"/>
    <w:rsid w:val="6B637A3C"/>
    <w:rsid w:val="6B79100E"/>
    <w:rsid w:val="6B7B4D86"/>
    <w:rsid w:val="6B9967D3"/>
    <w:rsid w:val="6BA240C1"/>
    <w:rsid w:val="6BB70D70"/>
    <w:rsid w:val="6BBC7AB7"/>
    <w:rsid w:val="6BBD30A9"/>
    <w:rsid w:val="6BE75F78"/>
    <w:rsid w:val="6C0703C8"/>
    <w:rsid w:val="6C184383"/>
    <w:rsid w:val="6C1D12BF"/>
    <w:rsid w:val="6C334E78"/>
    <w:rsid w:val="6C5555D7"/>
    <w:rsid w:val="6C557DD7"/>
    <w:rsid w:val="6C5A04DF"/>
    <w:rsid w:val="6C5D4FC3"/>
    <w:rsid w:val="6C67530A"/>
    <w:rsid w:val="6C6C4CED"/>
    <w:rsid w:val="6C712824"/>
    <w:rsid w:val="6C792124"/>
    <w:rsid w:val="6C846F02"/>
    <w:rsid w:val="6CB14B35"/>
    <w:rsid w:val="6CB73B9C"/>
    <w:rsid w:val="6CC56C99"/>
    <w:rsid w:val="6CE22EBF"/>
    <w:rsid w:val="6D1C7EA3"/>
    <w:rsid w:val="6D5E5A82"/>
    <w:rsid w:val="6D6D2CC0"/>
    <w:rsid w:val="6DBC51E2"/>
    <w:rsid w:val="6DC57938"/>
    <w:rsid w:val="6E257A13"/>
    <w:rsid w:val="6E322CF5"/>
    <w:rsid w:val="6E452F3E"/>
    <w:rsid w:val="6E4D7F56"/>
    <w:rsid w:val="6E5221AF"/>
    <w:rsid w:val="6EC473F6"/>
    <w:rsid w:val="6EF631B8"/>
    <w:rsid w:val="6EF841C8"/>
    <w:rsid w:val="6EFA7892"/>
    <w:rsid w:val="6EFF4359"/>
    <w:rsid w:val="6F0D581C"/>
    <w:rsid w:val="6F310667"/>
    <w:rsid w:val="6F3E05A4"/>
    <w:rsid w:val="6F40431D"/>
    <w:rsid w:val="6F9E4C5E"/>
    <w:rsid w:val="6FB1521A"/>
    <w:rsid w:val="6FE611A8"/>
    <w:rsid w:val="6FEF0ACA"/>
    <w:rsid w:val="6FF0139E"/>
    <w:rsid w:val="700D7F77"/>
    <w:rsid w:val="701D6BCD"/>
    <w:rsid w:val="7035779C"/>
    <w:rsid w:val="703743B3"/>
    <w:rsid w:val="70384B42"/>
    <w:rsid w:val="705931BC"/>
    <w:rsid w:val="705C1573"/>
    <w:rsid w:val="706251DA"/>
    <w:rsid w:val="7067457A"/>
    <w:rsid w:val="709623EB"/>
    <w:rsid w:val="70A17D74"/>
    <w:rsid w:val="71A128FE"/>
    <w:rsid w:val="71AF27E9"/>
    <w:rsid w:val="71B2C710"/>
    <w:rsid w:val="71BB0D54"/>
    <w:rsid w:val="71F25676"/>
    <w:rsid w:val="71FE401B"/>
    <w:rsid w:val="72031631"/>
    <w:rsid w:val="72131CE3"/>
    <w:rsid w:val="721C1608"/>
    <w:rsid w:val="722740AA"/>
    <w:rsid w:val="7249797A"/>
    <w:rsid w:val="724E1B61"/>
    <w:rsid w:val="727856BF"/>
    <w:rsid w:val="72970250"/>
    <w:rsid w:val="72BF0760"/>
    <w:rsid w:val="72D802E5"/>
    <w:rsid w:val="72F571CC"/>
    <w:rsid w:val="730833A3"/>
    <w:rsid w:val="73131D48"/>
    <w:rsid w:val="734A3058"/>
    <w:rsid w:val="736A5E0C"/>
    <w:rsid w:val="737D35DF"/>
    <w:rsid w:val="73816355"/>
    <w:rsid w:val="73865ADC"/>
    <w:rsid w:val="73903399"/>
    <w:rsid w:val="73925BE8"/>
    <w:rsid w:val="73A56E44"/>
    <w:rsid w:val="73C22955"/>
    <w:rsid w:val="73C372CA"/>
    <w:rsid w:val="73D36E1A"/>
    <w:rsid w:val="73ED6105"/>
    <w:rsid w:val="74030788"/>
    <w:rsid w:val="74116287"/>
    <w:rsid w:val="741713C4"/>
    <w:rsid w:val="7428537F"/>
    <w:rsid w:val="742C30C1"/>
    <w:rsid w:val="7467005C"/>
    <w:rsid w:val="74715DB6"/>
    <w:rsid w:val="747D1B6F"/>
    <w:rsid w:val="74827185"/>
    <w:rsid w:val="748F3650"/>
    <w:rsid w:val="74AA2238"/>
    <w:rsid w:val="74B9247B"/>
    <w:rsid w:val="74C12620"/>
    <w:rsid w:val="74ECFBFB"/>
    <w:rsid w:val="750202C6"/>
    <w:rsid w:val="752473A4"/>
    <w:rsid w:val="752C7799"/>
    <w:rsid w:val="753D4FCE"/>
    <w:rsid w:val="754012E2"/>
    <w:rsid w:val="75680129"/>
    <w:rsid w:val="75705F0C"/>
    <w:rsid w:val="75A373B3"/>
    <w:rsid w:val="75E01698"/>
    <w:rsid w:val="75E54142"/>
    <w:rsid w:val="7642526D"/>
    <w:rsid w:val="766034F6"/>
    <w:rsid w:val="7682346D"/>
    <w:rsid w:val="76963B73"/>
    <w:rsid w:val="76A07D97"/>
    <w:rsid w:val="76E42AF2"/>
    <w:rsid w:val="76E6C2A9"/>
    <w:rsid w:val="77251636"/>
    <w:rsid w:val="772B7660"/>
    <w:rsid w:val="7735228D"/>
    <w:rsid w:val="774A5440"/>
    <w:rsid w:val="77635BFC"/>
    <w:rsid w:val="77A621B1"/>
    <w:rsid w:val="77C96E79"/>
    <w:rsid w:val="77CB499F"/>
    <w:rsid w:val="77E70370"/>
    <w:rsid w:val="77F47D9B"/>
    <w:rsid w:val="77FD1F9B"/>
    <w:rsid w:val="780600CD"/>
    <w:rsid w:val="78072C21"/>
    <w:rsid w:val="78084DEE"/>
    <w:rsid w:val="7819395D"/>
    <w:rsid w:val="781F4CEB"/>
    <w:rsid w:val="78431690"/>
    <w:rsid w:val="7880578A"/>
    <w:rsid w:val="7899684C"/>
    <w:rsid w:val="78C95087"/>
    <w:rsid w:val="78DA2FD7"/>
    <w:rsid w:val="79191DB0"/>
    <w:rsid w:val="791B1956"/>
    <w:rsid w:val="795F3CB0"/>
    <w:rsid w:val="79606DFF"/>
    <w:rsid w:val="79711576"/>
    <w:rsid w:val="79766B8D"/>
    <w:rsid w:val="797A28C6"/>
    <w:rsid w:val="79A1154E"/>
    <w:rsid w:val="79B13EBE"/>
    <w:rsid w:val="79C44323"/>
    <w:rsid w:val="79C743D5"/>
    <w:rsid w:val="79E24222"/>
    <w:rsid w:val="79ED4E78"/>
    <w:rsid w:val="79F73625"/>
    <w:rsid w:val="7A235449"/>
    <w:rsid w:val="7A38666E"/>
    <w:rsid w:val="7A633F75"/>
    <w:rsid w:val="7A9B37A1"/>
    <w:rsid w:val="7A9B68AB"/>
    <w:rsid w:val="7ABE4C8F"/>
    <w:rsid w:val="7ABF48A9"/>
    <w:rsid w:val="7AF11F0E"/>
    <w:rsid w:val="7B2965AD"/>
    <w:rsid w:val="7B315461"/>
    <w:rsid w:val="7B476A33"/>
    <w:rsid w:val="7B4B67D6"/>
    <w:rsid w:val="7B6018A2"/>
    <w:rsid w:val="7B690757"/>
    <w:rsid w:val="7B783090"/>
    <w:rsid w:val="7B9B08C1"/>
    <w:rsid w:val="7BBB16A6"/>
    <w:rsid w:val="7BE97AEA"/>
    <w:rsid w:val="7BEE6EAE"/>
    <w:rsid w:val="7C013D37"/>
    <w:rsid w:val="7C1A23B7"/>
    <w:rsid w:val="7C40448C"/>
    <w:rsid w:val="7C514CAB"/>
    <w:rsid w:val="7C55517F"/>
    <w:rsid w:val="7C7E4A35"/>
    <w:rsid w:val="7C8B44B9"/>
    <w:rsid w:val="7CC90F45"/>
    <w:rsid w:val="7CCC3340"/>
    <w:rsid w:val="7CCF4F32"/>
    <w:rsid w:val="7CD83A05"/>
    <w:rsid w:val="7CEB63A3"/>
    <w:rsid w:val="7CF6296A"/>
    <w:rsid w:val="7CFA320B"/>
    <w:rsid w:val="7D0C7F34"/>
    <w:rsid w:val="7D2D5FAA"/>
    <w:rsid w:val="7D4C6582"/>
    <w:rsid w:val="7D54A099"/>
    <w:rsid w:val="7D7E564E"/>
    <w:rsid w:val="7DCA437F"/>
    <w:rsid w:val="7DCD578E"/>
    <w:rsid w:val="7DCE343B"/>
    <w:rsid w:val="7E026C41"/>
    <w:rsid w:val="7E0E18F7"/>
    <w:rsid w:val="7E1765F4"/>
    <w:rsid w:val="7E1A21DD"/>
    <w:rsid w:val="7E292808"/>
    <w:rsid w:val="7E6478FC"/>
    <w:rsid w:val="7E714554"/>
    <w:rsid w:val="7E9C7095"/>
    <w:rsid w:val="7EB41096"/>
    <w:rsid w:val="7ED4720F"/>
    <w:rsid w:val="7ED50042"/>
    <w:rsid w:val="7F083DCE"/>
    <w:rsid w:val="7F0C363E"/>
    <w:rsid w:val="7F264BB1"/>
    <w:rsid w:val="7F3C0822"/>
    <w:rsid w:val="7F5636E8"/>
    <w:rsid w:val="7F6234E5"/>
    <w:rsid w:val="7F686F78"/>
    <w:rsid w:val="7F7D2040"/>
    <w:rsid w:val="7F82479C"/>
    <w:rsid w:val="7F893396"/>
    <w:rsid w:val="7F897554"/>
    <w:rsid w:val="7FA06711"/>
    <w:rsid w:val="7FB273BE"/>
    <w:rsid w:val="7FCA6E59"/>
    <w:rsid w:val="7FD840FD"/>
    <w:rsid w:val="7FDDC17D"/>
    <w:rsid w:val="7FDFC3E7"/>
    <w:rsid w:val="7FE70CCF"/>
    <w:rsid w:val="7FF73362"/>
    <w:rsid w:val="7FFF0B8B"/>
    <w:rsid w:val="9DFB92F8"/>
    <w:rsid w:val="BEEFAC7D"/>
    <w:rsid w:val="CFFD274B"/>
    <w:rsid w:val="DBD786DF"/>
    <w:rsid w:val="DF6D234B"/>
    <w:rsid w:val="E3CF4E6B"/>
    <w:rsid w:val="EE50E14D"/>
    <w:rsid w:val="FF7FFA05"/>
    <w:rsid w:val="FFF38300"/>
    <w:rsid w:val="FFFFC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qFormat="1"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spacing w:before="340" w:after="330"/>
      <w:jc w:val="center"/>
      <w:outlineLvl w:val="0"/>
    </w:pPr>
    <w:rPr>
      <w:b/>
      <w:kern w:val="44"/>
      <w:sz w:val="32"/>
      <w:szCs w:val="21"/>
    </w:rPr>
  </w:style>
  <w:style w:type="paragraph" w:styleId="2">
    <w:name w:val="heading 2"/>
    <w:basedOn w:val="1"/>
    <w:next w:val="1"/>
    <w:link w:val="57"/>
    <w:qFormat/>
    <w:uiPriority w:val="0"/>
    <w:pPr>
      <w:keepNext/>
      <w:keepLines/>
      <w:spacing w:before="260" w:after="260"/>
      <w:jc w:val="center"/>
      <w:outlineLvl w:val="1"/>
    </w:pPr>
    <w:rPr>
      <w:rFonts w:ascii="Arial" w:hAnsi="Arial"/>
      <w:b/>
      <w:sz w:val="24"/>
      <w:szCs w:val="21"/>
    </w:rPr>
  </w:style>
  <w:style w:type="paragraph" w:styleId="4">
    <w:name w:val="heading 3"/>
    <w:basedOn w:val="1"/>
    <w:next w:val="1"/>
    <w:link w:val="45"/>
    <w:qFormat/>
    <w:uiPriority w:val="0"/>
    <w:pPr>
      <w:keepNext/>
      <w:keepLines/>
      <w:spacing w:before="260" w:after="260"/>
      <w:ind w:left="100" w:leftChars="100"/>
      <w:jc w:val="left"/>
      <w:outlineLvl w:val="2"/>
    </w:pPr>
    <w:rPr>
      <w:b/>
      <w:sz w:val="24"/>
    </w:rPr>
  </w:style>
  <w:style w:type="paragraph" w:styleId="5">
    <w:name w:val="heading 4"/>
    <w:basedOn w:val="1"/>
    <w:next w:val="1"/>
    <w:link w:val="52"/>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44"/>
    <w:qFormat/>
    <w:uiPriority w:val="0"/>
    <w:pPr>
      <w:keepNext/>
      <w:keepLines/>
      <w:spacing w:before="280" w:after="290" w:line="376" w:lineRule="auto"/>
      <w:outlineLvl w:val="4"/>
    </w:pPr>
    <w:rPr>
      <w:b/>
      <w:bCs/>
      <w:sz w:val="28"/>
      <w:szCs w:val="28"/>
    </w:rPr>
  </w:style>
  <w:style w:type="paragraph" w:styleId="7">
    <w:name w:val="heading 6"/>
    <w:basedOn w:val="1"/>
    <w:next w:val="1"/>
    <w:link w:val="93"/>
    <w:unhideWhenUsed/>
    <w:qFormat/>
    <w:uiPriority w:val="0"/>
    <w:pPr>
      <w:keepNext/>
      <w:keepLines/>
      <w:spacing w:before="240" w:after="64" w:line="320" w:lineRule="auto"/>
      <w:ind w:left="1152" w:hanging="1152"/>
      <w:outlineLvl w:val="5"/>
    </w:pPr>
    <w:rPr>
      <w:rFonts w:ascii="Cambria" w:hAnsi="Cambria"/>
      <w:b/>
      <w:bCs/>
      <w:szCs w:val="24"/>
    </w:rPr>
  </w:style>
  <w:style w:type="paragraph" w:styleId="8">
    <w:name w:val="heading 7"/>
    <w:basedOn w:val="1"/>
    <w:next w:val="1"/>
    <w:link w:val="94"/>
    <w:unhideWhenUsed/>
    <w:qFormat/>
    <w:uiPriority w:val="9"/>
    <w:pPr>
      <w:keepNext/>
      <w:keepLines/>
      <w:spacing w:before="240" w:after="64" w:line="320" w:lineRule="auto"/>
      <w:ind w:left="1296" w:hanging="1296"/>
      <w:outlineLvl w:val="6"/>
    </w:pPr>
    <w:rPr>
      <w:b/>
      <w:bCs/>
      <w:szCs w:val="24"/>
    </w:rPr>
  </w:style>
  <w:style w:type="paragraph" w:styleId="9">
    <w:name w:val="heading 8"/>
    <w:basedOn w:val="1"/>
    <w:next w:val="1"/>
    <w:link w:val="95"/>
    <w:unhideWhenUsed/>
    <w:qFormat/>
    <w:uiPriority w:val="0"/>
    <w:pPr>
      <w:keepNext/>
      <w:keepLines/>
      <w:spacing w:before="240" w:after="64" w:line="320" w:lineRule="auto"/>
      <w:ind w:left="1440" w:hanging="1440"/>
      <w:outlineLvl w:val="7"/>
    </w:pPr>
    <w:rPr>
      <w:rFonts w:ascii="Cambria" w:hAnsi="Cambria"/>
      <w:szCs w:val="24"/>
    </w:rPr>
  </w:style>
  <w:style w:type="paragraph" w:styleId="10">
    <w:name w:val="heading 9"/>
    <w:basedOn w:val="1"/>
    <w:next w:val="1"/>
    <w:link w:val="96"/>
    <w:unhideWhenUsed/>
    <w:qFormat/>
    <w:uiPriority w:val="0"/>
    <w:pPr>
      <w:keepNext/>
      <w:keepLines/>
      <w:spacing w:before="240" w:after="64" w:line="320" w:lineRule="auto"/>
      <w:ind w:left="1584" w:hanging="1584"/>
      <w:outlineLvl w:val="8"/>
    </w:pPr>
    <w:rPr>
      <w:rFonts w:ascii="Cambria" w:hAnsi="Cambria"/>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7"/>
    <w:qFormat/>
    <w:uiPriority w:val="0"/>
    <w:pPr>
      <w:ind w:firstLine="420"/>
    </w:pPr>
    <w:rPr>
      <w:rFonts w:ascii="宋体" w:hAnsi="宋体"/>
      <w:kern w:val="0"/>
      <w:sz w:val="20"/>
      <w:szCs w:val="20"/>
    </w:rPr>
  </w:style>
  <w:style w:type="paragraph" w:styleId="12">
    <w:name w:val="annotation text"/>
    <w:basedOn w:val="1"/>
    <w:link w:val="43"/>
    <w:semiHidden/>
    <w:qFormat/>
    <w:uiPriority w:val="0"/>
    <w:pPr>
      <w:jc w:val="left"/>
    </w:pPr>
  </w:style>
  <w:style w:type="paragraph" w:styleId="13">
    <w:name w:val="Body Text"/>
    <w:basedOn w:val="1"/>
    <w:link w:val="51"/>
    <w:qFormat/>
    <w:uiPriority w:val="0"/>
    <w:pPr>
      <w:spacing w:after="120"/>
    </w:pPr>
    <w:rPr>
      <w:kern w:val="0"/>
      <w:sz w:val="20"/>
      <w:szCs w:val="24"/>
    </w:rPr>
  </w:style>
  <w:style w:type="paragraph" w:styleId="14">
    <w:name w:val="Body Text Indent"/>
    <w:basedOn w:val="1"/>
    <w:link w:val="56"/>
    <w:unhideWhenUsed/>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50"/>
    <w:qFormat/>
    <w:uiPriority w:val="0"/>
    <w:rPr>
      <w:rFonts w:ascii="宋体" w:hAnsi="Courier New"/>
      <w:kern w:val="0"/>
      <w:sz w:val="20"/>
      <w:szCs w:val="20"/>
    </w:rPr>
  </w:style>
  <w:style w:type="paragraph" w:styleId="17">
    <w:name w:val="Date"/>
    <w:basedOn w:val="1"/>
    <w:next w:val="1"/>
    <w:link w:val="53"/>
    <w:unhideWhenUsed/>
    <w:qFormat/>
    <w:uiPriority w:val="0"/>
    <w:pPr>
      <w:ind w:left="100" w:leftChars="2500"/>
    </w:pPr>
  </w:style>
  <w:style w:type="paragraph" w:styleId="18">
    <w:name w:val="Body Text Indent 2"/>
    <w:basedOn w:val="1"/>
    <w:link w:val="49"/>
    <w:qFormat/>
    <w:uiPriority w:val="0"/>
    <w:pPr>
      <w:spacing w:after="120" w:line="480" w:lineRule="auto"/>
      <w:ind w:left="420" w:leftChars="200"/>
    </w:pPr>
  </w:style>
  <w:style w:type="paragraph" w:styleId="19">
    <w:name w:val="Balloon Text"/>
    <w:basedOn w:val="1"/>
    <w:link w:val="58"/>
    <w:qFormat/>
    <w:uiPriority w:val="0"/>
    <w:rPr>
      <w:sz w:val="18"/>
      <w:szCs w:val="18"/>
    </w:rPr>
  </w:style>
  <w:style w:type="paragraph" w:styleId="20">
    <w:name w:val="footer"/>
    <w:basedOn w:val="1"/>
    <w:link w:val="55"/>
    <w:unhideWhenUsed/>
    <w:qFormat/>
    <w:uiPriority w:val="99"/>
    <w:pPr>
      <w:tabs>
        <w:tab w:val="center" w:pos="4153"/>
        <w:tab w:val="right" w:pos="8306"/>
      </w:tabs>
      <w:snapToGrid w:val="0"/>
      <w:jc w:val="left"/>
    </w:pPr>
    <w:rPr>
      <w:kern w:val="0"/>
      <w:sz w:val="18"/>
      <w:szCs w:val="18"/>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pPr>
      <w:spacing w:line="360" w:lineRule="auto"/>
    </w:pPr>
    <w:rPr>
      <w:rFonts w:ascii="Times New Roman" w:hAnsi="Times New Roman"/>
      <w:b/>
      <w:sz w:val="24"/>
      <w:szCs w:val="24"/>
    </w:rPr>
  </w:style>
  <w:style w:type="paragraph" w:styleId="23">
    <w:name w:val="toc 4"/>
    <w:basedOn w:val="1"/>
    <w:next w:val="1"/>
    <w:unhideWhenUsed/>
    <w:qFormat/>
    <w:uiPriority w:val="0"/>
    <w:pPr>
      <w:ind w:left="1260" w:leftChars="600"/>
    </w:pPr>
  </w:style>
  <w:style w:type="paragraph" w:styleId="24">
    <w:name w:val="Subtitle"/>
    <w:basedOn w:val="1"/>
    <w:next w:val="1"/>
    <w:link w:val="60"/>
    <w:qFormat/>
    <w:uiPriority w:val="0"/>
    <w:pPr>
      <w:spacing w:before="240" w:after="60" w:line="312" w:lineRule="auto"/>
      <w:jc w:val="center"/>
      <w:outlineLvl w:val="1"/>
    </w:pPr>
    <w:rPr>
      <w:b/>
      <w:bCs/>
      <w:kern w:val="28"/>
      <w:sz w:val="32"/>
      <w:szCs w:val="32"/>
    </w:rPr>
  </w:style>
  <w:style w:type="paragraph" w:styleId="25">
    <w:name w:val="toc 2"/>
    <w:basedOn w:val="1"/>
    <w:next w:val="1"/>
    <w:qFormat/>
    <w:uiPriority w:val="39"/>
    <w:pPr>
      <w:spacing w:line="360" w:lineRule="auto"/>
      <w:ind w:left="200" w:leftChars="200"/>
    </w:pPr>
    <w:rPr>
      <w:rFonts w:ascii="Times New Roman" w:hAnsi="Times New Roman"/>
      <w:sz w:val="24"/>
      <w:szCs w:val="20"/>
    </w:rPr>
  </w:style>
  <w:style w:type="paragraph" w:styleId="26">
    <w:name w:val="Body Text 2"/>
    <w:basedOn w:val="1"/>
    <w:link w:val="61"/>
    <w:unhideWhenUsed/>
    <w:qFormat/>
    <w:uiPriority w:val="0"/>
    <w:pPr>
      <w:spacing w:after="120" w:line="480" w:lineRule="auto"/>
    </w:pPr>
  </w:style>
  <w:style w:type="paragraph" w:styleId="27">
    <w:name w:val="Normal (Web)"/>
    <w:basedOn w:val="1"/>
    <w:link w:val="62"/>
    <w:unhideWhenUsed/>
    <w:qFormat/>
    <w:uiPriority w:val="0"/>
    <w:rPr>
      <w:rFonts w:ascii="Times New Roman" w:hAnsi="Times New Roman"/>
      <w:sz w:val="24"/>
      <w:szCs w:val="24"/>
    </w:rPr>
  </w:style>
  <w:style w:type="paragraph" w:styleId="28">
    <w:name w:val="annotation subject"/>
    <w:basedOn w:val="12"/>
    <w:next w:val="12"/>
    <w:link w:val="63"/>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page number"/>
    <w:qFormat/>
    <w:uiPriority w:val="0"/>
  </w:style>
  <w:style w:type="character" w:styleId="34">
    <w:name w:val="FollowedHyperlink"/>
    <w:qFormat/>
    <w:uiPriority w:val="0"/>
    <w:rPr>
      <w:color w:val="222222"/>
      <w:u w:val="none"/>
    </w:rPr>
  </w:style>
  <w:style w:type="character" w:styleId="35">
    <w:name w:val="Emphasis"/>
    <w:qFormat/>
    <w:uiPriority w:val="0"/>
  </w:style>
  <w:style w:type="character" w:styleId="36">
    <w:name w:val="HTML Definition"/>
    <w:qFormat/>
    <w:uiPriority w:val="0"/>
    <w:rPr>
      <w:i/>
    </w:rPr>
  </w:style>
  <w:style w:type="character" w:styleId="37">
    <w:name w:val="Hyperlink"/>
    <w:qFormat/>
    <w:uiPriority w:val="99"/>
    <w:rPr>
      <w:color w:val="222222"/>
      <w:u w:val="none"/>
    </w:rPr>
  </w:style>
  <w:style w:type="character" w:styleId="38">
    <w:name w:val="HTML Code"/>
    <w:qFormat/>
    <w:uiPriority w:val="0"/>
    <w:rPr>
      <w:rFonts w:hint="default" w:ascii="Consolas" w:hAnsi="Consolas" w:eastAsia="Consolas" w:cs="Consolas"/>
      <w:color w:val="CA4440"/>
      <w:sz w:val="21"/>
      <w:szCs w:val="21"/>
      <w:shd w:val="clear" w:color="auto" w:fill="F9F2F4"/>
    </w:rPr>
  </w:style>
  <w:style w:type="character" w:styleId="39">
    <w:name w:val="annotation reference"/>
    <w:qFormat/>
    <w:uiPriority w:val="0"/>
    <w:rPr>
      <w:sz w:val="21"/>
      <w:szCs w:val="21"/>
    </w:rPr>
  </w:style>
  <w:style w:type="character" w:styleId="40">
    <w:name w:val="HTML Keyboard"/>
    <w:qFormat/>
    <w:uiPriority w:val="0"/>
    <w:rPr>
      <w:rFonts w:ascii="Consolas" w:hAnsi="Consolas" w:eastAsia="Consolas" w:cs="Consolas"/>
      <w:color w:val="FFFFFF"/>
      <w:sz w:val="21"/>
      <w:szCs w:val="21"/>
      <w:shd w:val="clear" w:color="auto" w:fill="333333"/>
    </w:rPr>
  </w:style>
  <w:style w:type="character" w:styleId="41">
    <w:name w:val="HTML Sample"/>
    <w:qFormat/>
    <w:uiPriority w:val="0"/>
    <w:rPr>
      <w:rFonts w:hint="default" w:ascii="Consolas" w:hAnsi="Consolas" w:eastAsia="Consolas" w:cs="Consolas"/>
      <w:sz w:val="21"/>
      <w:szCs w:val="21"/>
    </w:rPr>
  </w:style>
  <w:style w:type="character" w:customStyle="1" w:styleId="42">
    <w:name w:val="页眉 字符"/>
    <w:link w:val="21"/>
    <w:qFormat/>
    <w:uiPriority w:val="0"/>
    <w:rPr>
      <w:rFonts w:ascii="Calibri" w:hAnsi="Calibri"/>
      <w:sz w:val="18"/>
      <w:szCs w:val="18"/>
    </w:rPr>
  </w:style>
  <w:style w:type="character" w:customStyle="1" w:styleId="43">
    <w:name w:val="批注文字 字符"/>
    <w:link w:val="12"/>
    <w:semiHidden/>
    <w:qFormat/>
    <w:uiPriority w:val="0"/>
    <w:rPr>
      <w:kern w:val="2"/>
      <w:sz w:val="21"/>
      <w:szCs w:val="22"/>
    </w:rPr>
  </w:style>
  <w:style w:type="character" w:customStyle="1" w:styleId="44">
    <w:name w:val="标题 5 字符"/>
    <w:link w:val="6"/>
    <w:semiHidden/>
    <w:qFormat/>
    <w:uiPriority w:val="0"/>
    <w:rPr>
      <w:rFonts w:ascii="Calibri" w:hAnsi="Calibri"/>
      <w:b/>
      <w:bCs/>
      <w:kern w:val="2"/>
      <w:sz w:val="28"/>
      <w:szCs w:val="28"/>
    </w:rPr>
  </w:style>
  <w:style w:type="character" w:customStyle="1" w:styleId="45">
    <w:name w:val="标题 3 字符"/>
    <w:link w:val="4"/>
    <w:qFormat/>
    <w:uiPriority w:val="0"/>
    <w:rPr>
      <w:rFonts w:ascii="Calibri" w:hAnsi="Calibri"/>
      <w:b/>
      <w:kern w:val="2"/>
      <w:sz w:val="24"/>
      <w:szCs w:val="22"/>
    </w:rPr>
  </w:style>
  <w:style w:type="character" w:customStyle="1" w:styleId="46">
    <w:name w:val="font41"/>
    <w:qFormat/>
    <w:uiPriority w:val="0"/>
    <w:rPr>
      <w:rFonts w:hint="eastAsia" w:ascii="宋体" w:hAnsi="宋体" w:eastAsia="宋体" w:cs="宋体"/>
      <w:color w:val="000000"/>
      <w:sz w:val="20"/>
      <w:szCs w:val="20"/>
      <w:u w:val="none"/>
    </w:rPr>
  </w:style>
  <w:style w:type="character" w:customStyle="1" w:styleId="47">
    <w:name w:val="正文缩进 字符"/>
    <w:link w:val="11"/>
    <w:qFormat/>
    <w:uiPriority w:val="0"/>
    <w:rPr>
      <w:rFonts w:ascii="宋体" w:hAnsi="宋体"/>
    </w:rPr>
  </w:style>
  <w:style w:type="character" w:customStyle="1" w:styleId="48">
    <w:name w:val="font21"/>
    <w:qFormat/>
    <w:uiPriority w:val="0"/>
    <w:rPr>
      <w:rFonts w:hint="eastAsia" w:ascii="宋体" w:hAnsi="宋体" w:eastAsia="宋体"/>
      <w:b/>
      <w:bCs/>
      <w:color w:val="000000"/>
      <w:sz w:val="24"/>
      <w:szCs w:val="24"/>
      <w:u w:val="none"/>
    </w:rPr>
  </w:style>
  <w:style w:type="character" w:customStyle="1" w:styleId="49">
    <w:name w:val="正文文本缩进 2 字符"/>
    <w:link w:val="18"/>
    <w:qFormat/>
    <w:uiPriority w:val="0"/>
    <w:rPr>
      <w:rFonts w:ascii="Calibri" w:hAnsi="Calibri"/>
      <w:kern w:val="2"/>
      <w:sz w:val="21"/>
      <w:szCs w:val="22"/>
    </w:rPr>
  </w:style>
  <w:style w:type="character" w:customStyle="1" w:styleId="50">
    <w:name w:val="纯文本 字符"/>
    <w:link w:val="16"/>
    <w:qFormat/>
    <w:uiPriority w:val="0"/>
    <w:rPr>
      <w:rFonts w:ascii="宋体" w:hAnsi="Courier New"/>
    </w:rPr>
  </w:style>
  <w:style w:type="character" w:customStyle="1" w:styleId="51">
    <w:name w:val="正文文本 字符"/>
    <w:link w:val="13"/>
    <w:qFormat/>
    <w:uiPriority w:val="0"/>
    <w:rPr>
      <w:rFonts w:ascii="Calibri" w:hAnsi="Calibri"/>
      <w:szCs w:val="24"/>
    </w:rPr>
  </w:style>
  <w:style w:type="character" w:customStyle="1" w:styleId="52">
    <w:name w:val="标题 4 字符"/>
    <w:link w:val="5"/>
    <w:qFormat/>
    <w:uiPriority w:val="0"/>
    <w:rPr>
      <w:rFonts w:ascii="等线 Light" w:hAnsi="等线 Light" w:eastAsia="等线 Light" w:cs="Times New Roman"/>
      <w:b/>
      <w:bCs/>
      <w:kern w:val="2"/>
      <w:sz w:val="28"/>
      <w:szCs w:val="28"/>
    </w:rPr>
  </w:style>
  <w:style w:type="character" w:customStyle="1" w:styleId="53">
    <w:name w:val="日期 字符"/>
    <w:link w:val="17"/>
    <w:qFormat/>
    <w:uiPriority w:val="0"/>
    <w:rPr>
      <w:rFonts w:ascii="Calibri" w:hAnsi="Calibri"/>
      <w:kern w:val="2"/>
      <w:sz w:val="21"/>
      <w:szCs w:val="22"/>
    </w:rPr>
  </w:style>
  <w:style w:type="character" w:customStyle="1" w:styleId="54">
    <w:name w:val="font31"/>
    <w:qFormat/>
    <w:uiPriority w:val="0"/>
    <w:rPr>
      <w:rFonts w:hint="eastAsia" w:ascii="宋体" w:hAnsi="宋体" w:eastAsia="宋体" w:cs="宋体"/>
      <w:color w:val="000000"/>
      <w:sz w:val="20"/>
      <w:szCs w:val="20"/>
      <w:u w:val="none"/>
    </w:rPr>
  </w:style>
  <w:style w:type="character" w:customStyle="1" w:styleId="55">
    <w:name w:val="页脚 字符"/>
    <w:link w:val="20"/>
    <w:qFormat/>
    <w:uiPriority w:val="99"/>
    <w:rPr>
      <w:rFonts w:ascii="Calibri" w:hAnsi="Calibri"/>
      <w:sz w:val="18"/>
      <w:szCs w:val="18"/>
    </w:rPr>
  </w:style>
  <w:style w:type="character" w:customStyle="1" w:styleId="56">
    <w:name w:val="正文文本缩进 字符"/>
    <w:link w:val="14"/>
    <w:semiHidden/>
    <w:qFormat/>
    <w:uiPriority w:val="0"/>
    <w:rPr>
      <w:rFonts w:ascii="Calibri" w:hAnsi="Calibri"/>
      <w:kern w:val="2"/>
      <w:sz w:val="21"/>
      <w:szCs w:val="22"/>
    </w:rPr>
  </w:style>
  <w:style w:type="character" w:customStyle="1" w:styleId="57">
    <w:name w:val="标题 2 字符"/>
    <w:link w:val="2"/>
    <w:qFormat/>
    <w:uiPriority w:val="9"/>
    <w:rPr>
      <w:rFonts w:ascii="Arial" w:hAnsi="Arial"/>
      <w:b/>
      <w:sz w:val="24"/>
      <w:szCs w:val="21"/>
    </w:rPr>
  </w:style>
  <w:style w:type="character" w:customStyle="1" w:styleId="58">
    <w:name w:val="批注框文本 字符"/>
    <w:link w:val="19"/>
    <w:qFormat/>
    <w:uiPriority w:val="0"/>
    <w:rPr>
      <w:kern w:val="2"/>
      <w:sz w:val="18"/>
      <w:szCs w:val="18"/>
    </w:rPr>
  </w:style>
  <w:style w:type="character" w:customStyle="1" w:styleId="59">
    <w:name w:val="标题 1 字符"/>
    <w:link w:val="3"/>
    <w:qFormat/>
    <w:uiPriority w:val="0"/>
    <w:rPr>
      <w:rFonts w:ascii="Calibri" w:hAnsi="Calibri"/>
      <w:b/>
      <w:kern w:val="44"/>
      <w:sz w:val="32"/>
      <w:szCs w:val="21"/>
    </w:rPr>
  </w:style>
  <w:style w:type="character" w:customStyle="1" w:styleId="60">
    <w:name w:val="副标题 字符"/>
    <w:link w:val="24"/>
    <w:qFormat/>
    <w:uiPriority w:val="0"/>
    <w:rPr>
      <w:rFonts w:ascii="Calibri" w:hAnsi="Calibri"/>
      <w:b/>
      <w:bCs/>
      <w:kern w:val="28"/>
      <w:sz w:val="32"/>
      <w:szCs w:val="32"/>
    </w:rPr>
  </w:style>
  <w:style w:type="character" w:customStyle="1" w:styleId="61">
    <w:name w:val="正文文本 2 字符"/>
    <w:link w:val="26"/>
    <w:semiHidden/>
    <w:qFormat/>
    <w:uiPriority w:val="0"/>
    <w:rPr>
      <w:rFonts w:ascii="Calibri" w:hAnsi="Calibri"/>
      <w:kern w:val="2"/>
      <w:sz w:val="21"/>
      <w:szCs w:val="22"/>
    </w:rPr>
  </w:style>
  <w:style w:type="character" w:customStyle="1" w:styleId="62">
    <w:name w:val="普通(网站) 字符"/>
    <w:link w:val="27"/>
    <w:qFormat/>
    <w:uiPriority w:val="99"/>
    <w:rPr>
      <w:kern w:val="2"/>
      <w:sz w:val="24"/>
      <w:szCs w:val="24"/>
    </w:rPr>
  </w:style>
  <w:style w:type="character" w:customStyle="1" w:styleId="63">
    <w:name w:val="批注主题 字符"/>
    <w:link w:val="28"/>
    <w:qFormat/>
    <w:uiPriority w:val="0"/>
    <w:rPr>
      <w:b/>
      <w:bCs/>
      <w:kern w:val="2"/>
      <w:sz w:val="21"/>
      <w:szCs w:val="22"/>
    </w:rPr>
  </w:style>
  <w:style w:type="character" w:customStyle="1" w:styleId="64">
    <w:name w:val="label3"/>
    <w:qFormat/>
    <w:uiPriority w:val="0"/>
  </w:style>
  <w:style w:type="character" w:customStyle="1" w:styleId="65">
    <w:name w:val="font71"/>
    <w:qFormat/>
    <w:uiPriority w:val="0"/>
    <w:rPr>
      <w:rFonts w:hint="eastAsia" w:ascii="宋体" w:hAnsi="宋体" w:eastAsia="宋体" w:cs="宋体"/>
      <w:b/>
      <w:color w:val="000000"/>
      <w:sz w:val="20"/>
      <w:szCs w:val="20"/>
      <w:u w:val="none"/>
    </w:rPr>
  </w:style>
  <w:style w:type="character" w:customStyle="1" w:styleId="66">
    <w:name w:val="label"/>
    <w:qFormat/>
    <w:uiPriority w:val="0"/>
    <w:rPr>
      <w:color w:val="1AB394"/>
      <w:shd w:val="clear" w:color="auto" w:fill="FFFFFF"/>
    </w:rPr>
  </w:style>
  <w:style w:type="character" w:customStyle="1" w:styleId="67">
    <w:name w:val="navy"/>
    <w:qFormat/>
    <w:uiPriority w:val="0"/>
    <w:rPr>
      <w:color w:val="1AB394"/>
    </w:rPr>
  </w:style>
  <w:style w:type="character" w:customStyle="1" w:styleId="68">
    <w:name w:val="font11"/>
    <w:qFormat/>
    <w:uiPriority w:val="0"/>
    <w:rPr>
      <w:rFonts w:hint="eastAsia" w:ascii="宋体" w:hAnsi="宋体" w:eastAsia="宋体" w:cs="宋体"/>
      <w:b/>
      <w:color w:val="000000"/>
      <w:sz w:val="20"/>
      <w:szCs w:val="20"/>
      <w:u w:val="none"/>
    </w:rPr>
  </w:style>
  <w:style w:type="character" w:customStyle="1" w:styleId="69">
    <w:name w:val="font81"/>
    <w:qFormat/>
    <w:uiPriority w:val="0"/>
    <w:rPr>
      <w:rFonts w:hint="eastAsia" w:ascii="宋体" w:hAnsi="宋体" w:eastAsia="宋体" w:cs="宋体"/>
      <w:color w:val="FF0000"/>
      <w:sz w:val="20"/>
      <w:szCs w:val="20"/>
      <w:u w:val="none"/>
    </w:rPr>
  </w:style>
  <w:style w:type="character" w:customStyle="1" w:styleId="70">
    <w:name w:val="font01"/>
    <w:qFormat/>
    <w:uiPriority w:val="0"/>
    <w:rPr>
      <w:rFonts w:hint="eastAsia" w:ascii="宋体" w:hAnsi="宋体" w:eastAsia="宋体"/>
      <w:color w:val="000000"/>
      <w:sz w:val="24"/>
      <w:szCs w:val="24"/>
      <w:u w:val="none"/>
    </w:rPr>
  </w:style>
  <w:style w:type="character" w:customStyle="1" w:styleId="71">
    <w:name w:val="label1"/>
    <w:qFormat/>
    <w:uiPriority w:val="0"/>
    <w:rPr>
      <w:color w:val="1CC09F"/>
      <w:shd w:val="clear" w:color="auto" w:fill="FFFFFF"/>
    </w:rPr>
  </w:style>
  <w:style w:type="character" w:customStyle="1" w:styleId="72">
    <w:name w:val="label2"/>
    <w:qFormat/>
    <w:uiPriority w:val="0"/>
  </w:style>
  <w:style w:type="paragraph" w:customStyle="1" w:styleId="73">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74">
    <w:name w:val="Table Paragraph"/>
    <w:basedOn w:val="1"/>
    <w:qFormat/>
    <w:uiPriority w:val="1"/>
  </w:style>
  <w:style w:type="paragraph" w:customStyle="1" w:styleId="75">
    <w:name w:val="BodyText"/>
    <w:basedOn w:val="1"/>
    <w:next w:val="1"/>
    <w:qFormat/>
    <w:uiPriority w:val="0"/>
    <w:pPr>
      <w:textAlignment w:val="baseline"/>
    </w:pPr>
    <w:rPr>
      <w:sz w:val="24"/>
    </w:rPr>
  </w:style>
  <w:style w:type="paragraph" w:customStyle="1" w:styleId="76">
    <w:name w:val="正文+宋体"/>
    <w:basedOn w:val="27"/>
    <w:qFormat/>
    <w:uiPriority w:val="0"/>
    <w:pPr>
      <w:widowControl/>
      <w:shd w:val="clear" w:color="auto" w:fill="FFFFFF"/>
      <w:ind w:firstLine="480" w:firstLineChars="200"/>
      <w:jc w:val="left"/>
    </w:pPr>
    <w:rPr>
      <w:rFonts w:ascii="宋体" w:hAnsi="宋体" w:cs="宋体"/>
    </w:rPr>
  </w:style>
  <w:style w:type="paragraph" w:customStyle="1" w:styleId="77">
    <w:name w:val="Fließtext"/>
    <w:basedOn w:val="1"/>
    <w:qFormat/>
    <w:uiPriority w:val="0"/>
    <w:pPr>
      <w:overflowPunct w:val="0"/>
      <w:autoSpaceDE w:val="0"/>
      <w:autoSpaceDN w:val="0"/>
      <w:adjustRightInd w:val="0"/>
      <w:textAlignment w:val="baseline"/>
    </w:pPr>
    <w:rPr>
      <w:kern w:val="28"/>
      <w:szCs w:val="20"/>
    </w:rPr>
  </w:style>
  <w:style w:type="paragraph" w:customStyle="1" w:styleId="78">
    <w:name w:val="Body text|1"/>
    <w:basedOn w:val="1"/>
    <w:qFormat/>
    <w:uiPriority w:val="0"/>
    <w:pPr>
      <w:spacing w:line="415" w:lineRule="auto"/>
      <w:ind w:firstLine="400"/>
    </w:pPr>
    <w:rPr>
      <w:rFonts w:ascii="宋体" w:hAnsi="宋体" w:cs="宋体"/>
      <w:sz w:val="22"/>
      <w:lang w:val="zh-TW" w:eastAsia="zh-TW" w:bidi="zh-TW"/>
    </w:rPr>
  </w:style>
  <w:style w:type="paragraph" w:customStyle="1" w:styleId="79">
    <w:name w:val="正文缩进1"/>
    <w:basedOn w:val="1"/>
    <w:qFormat/>
    <w:uiPriority w:val="0"/>
    <w:pPr>
      <w:ind w:firstLine="420"/>
    </w:pPr>
    <w:rPr>
      <w:rFonts w:ascii="Times New Roman" w:hAnsi="Times New Roman"/>
      <w:kern w:val="0"/>
      <w:sz w:val="20"/>
      <w:szCs w:val="20"/>
    </w:rPr>
  </w:style>
  <w:style w:type="paragraph" w:customStyle="1" w:styleId="80">
    <w:name w:val="列出段落2"/>
    <w:qFormat/>
    <w:uiPriority w:val="0"/>
    <w:pPr>
      <w:ind w:firstLine="420" w:firstLineChars="200"/>
    </w:pPr>
    <w:rPr>
      <w:rFonts w:ascii="Times New Roman" w:hAnsi="Times New Roman" w:eastAsia="宋体" w:cs="Times New Roman"/>
      <w:szCs w:val="22"/>
      <w:lang w:val="en-US" w:eastAsia="zh-CN" w:bidi="ar-SA"/>
    </w:rPr>
  </w:style>
  <w:style w:type="paragraph" w:customStyle="1" w:styleId="8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2">
    <w:name w:val="文本"/>
    <w:basedOn w:val="1"/>
    <w:qFormat/>
    <w:uiPriority w:val="0"/>
    <w:pPr>
      <w:widowControl/>
      <w:snapToGrid w:val="0"/>
      <w:spacing w:line="360" w:lineRule="auto"/>
      <w:ind w:firstLine="560" w:firstLineChars="200"/>
      <w:jc w:val="left"/>
    </w:pPr>
    <w:rPr>
      <w:rFonts w:ascii="仿宋_GB2312" w:hAnsi="Times New Roman" w:eastAsia="仿宋_GB2312"/>
      <w:kern w:val="0"/>
      <w:sz w:val="28"/>
      <w:szCs w:val="30"/>
    </w:rPr>
  </w:style>
  <w:style w:type="paragraph" w:customStyle="1" w:styleId="83">
    <w:name w:val="修订1"/>
    <w:unhideWhenUsed/>
    <w:qFormat/>
    <w:uiPriority w:val="99"/>
    <w:rPr>
      <w:rFonts w:ascii="Calibri" w:hAnsi="Calibri" w:eastAsia="宋体" w:cs="Times New Roman"/>
      <w:kern w:val="2"/>
      <w:sz w:val="21"/>
      <w:szCs w:val="22"/>
      <w:lang w:val="en-US" w:eastAsia="zh-CN" w:bidi="ar-SA"/>
    </w:rPr>
  </w:style>
  <w:style w:type="paragraph" w:customStyle="1" w:styleId="84">
    <w:name w:val="样式3"/>
    <w:basedOn w:val="16"/>
    <w:qFormat/>
    <w:uiPriority w:val="0"/>
    <w:pPr>
      <w:spacing w:line="0" w:lineRule="atLeast"/>
      <w:outlineLvl w:val="0"/>
    </w:pPr>
    <w:rPr>
      <w:sz w:val="28"/>
    </w:rPr>
  </w:style>
  <w:style w:type="paragraph" w:styleId="85">
    <w:name w:val="List Paragraph"/>
    <w:basedOn w:val="1"/>
    <w:qFormat/>
    <w:uiPriority w:val="34"/>
    <w:pPr>
      <w:ind w:firstLine="420" w:firstLineChars="200"/>
    </w:pPr>
  </w:style>
  <w:style w:type="table" w:customStyle="1" w:styleId="86">
    <w:name w:val="网格型2"/>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NormalCharacter"/>
    <w:qFormat/>
    <w:uiPriority w:val="0"/>
  </w:style>
  <w:style w:type="character" w:customStyle="1" w:styleId="88">
    <w:name w:val="UserStyle_15"/>
    <w:link w:val="89"/>
    <w:qFormat/>
    <w:uiPriority w:val="0"/>
    <w:rPr>
      <w:rFonts w:ascii="Arial" w:hAnsi="Arial"/>
      <w:b/>
      <w:sz w:val="24"/>
      <w:szCs w:val="21"/>
    </w:rPr>
  </w:style>
  <w:style w:type="paragraph" w:customStyle="1" w:styleId="89">
    <w:name w:val="Heading2"/>
    <w:basedOn w:val="1"/>
    <w:next w:val="1"/>
    <w:link w:val="88"/>
    <w:qFormat/>
    <w:uiPriority w:val="0"/>
    <w:pPr>
      <w:keepNext/>
      <w:keepLines/>
      <w:widowControl/>
      <w:spacing w:before="260" w:after="260"/>
      <w:jc w:val="center"/>
      <w:textAlignment w:val="baseline"/>
    </w:pPr>
    <w:rPr>
      <w:rFonts w:ascii="Arial" w:hAnsi="Arial"/>
      <w:b/>
      <w:kern w:val="0"/>
      <w:sz w:val="24"/>
      <w:szCs w:val="21"/>
    </w:rPr>
  </w:style>
  <w:style w:type="paragraph" w:customStyle="1" w:styleId="90">
    <w:name w:val="UserStyle_30"/>
    <w:basedOn w:val="1"/>
    <w:qFormat/>
    <w:uiPriority w:val="0"/>
    <w:pPr>
      <w:widowControl/>
      <w:spacing w:before="25" w:after="25"/>
      <w:jc w:val="left"/>
      <w:textAlignment w:val="baseline"/>
    </w:pPr>
    <w:rPr>
      <w:rFonts w:ascii="Times" w:hAnsi="Times"/>
      <w:bCs/>
      <w:spacing w:val="10"/>
      <w:kern w:val="0"/>
      <w:sz w:val="24"/>
      <w:szCs w:val="20"/>
    </w:rPr>
  </w:style>
  <w:style w:type="character" w:customStyle="1" w:styleId="91">
    <w:name w:val="*正文 Char"/>
    <w:link w:val="92"/>
    <w:qFormat/>
    <w:locked/>
    <w:uiPriority w:val="0"/>
    <w:rPr>
      <w:rFonts w:ascii="宋体" w:hAnsi="宋体" w:cs="仿宋_GB2312"/>
      <w:sz w:val="24"/>
    </w:rPr>
  </w:style>
  <w:style w:type="paragraph" w:customStyle="1" w:styleId="92">
    <w:name w:val="*正文"/>
    <w:basedOn w:val="1"/>
    <w:link w:val="91"/>
    <w:qFormat/>
    <w:uiPriority w:val="0"/>
    <w:pPr>
      <w:spacing w:line="360" w:lineRule="auto"/>
      <w:ind w:firstLine="200" w:firstLineChars="200"/>
    </w:pPr>
    <w:rPr>
      <w:rFonts w:ascii="宋体" w:hAnsi="宋体" w:cs="仿宋_GB2312"/>
      <w:kern w:val="0"/>
      <w:sz w:val="24"/>
      <w:szCs w:val="20"/>
    </w:rPr>
  </w:style>
  <w:style w:type="character" w:customStyle="1" w:styleId="93">
    <w:name w:val="标题 6 字符"/>
    <w:link w:val="7"/>
    <w:qFormat/>
    <w:uiPriority w:val="0"/>
    <w:rPr>
      <w:rFonts w:ascii="Cambria" w:hAnsi="Cambria"/>
      <w:b/>
      <w:bCs/>
      <w:kern w:val="2"/>
      <w:sz w:val="21"/>
      <w:szCs w:val="24"/>
    </w:rPr>
  </w:style>
  <w:style w:type="character" w:customStyle="1" w:styleId="94">
    <w:name w:val="标题 7 字符"/>
    <w:link w:val="8"/>
    <w:qFormat/>
    <w:uiPriority w:val="9"/>
    <w:rPr>
      <w:rFonts w:ascii="Calibri" w:hAnsi="Calibri"/>
      <w:b/>
      <w:bCs/>
      <w:kern w:val="2"/>
      <w:sz w:val="21"/>
      <w:szCs w:val="24"/>
    </w:rPr>
  </w:style>
  <w:style w:type="character" w:customStyle="1" w:styleId="95">
    <w:name w:val="标题 8 字符"/>
    <w:link w:val="9"/>
    <w:qFormat/>
    <w:uiPriority w:val="0"/>
    <w:rPr>
      <w:rFonts w:ascii="Cambria" w:hAnsi="Cambria"/>
      <w:kern w:val="2"/>
      <w:sz w:val="21"/>
      <w:szCs w:val="24"/>
    </w:rPr>
  </w:style>
  <w:style w:type="character" w:customStyle="1" w:styleId="96">
    <w:name w:val="标题 9 字符"/>
    <w:link w:val="10"/>
    <w:qFormat/>
    <w:uiPriority w:val="0"/>
    <w:rPr>
      <w:rFonts w:ascii="Cambria" w:hAnsi="Cambria"/>
      <w:kern w:val="2"/>
      <w:sz w:val="21"/>
      <w:szCs w:val="21"/>
    </w:rPr>
  </w:style>
  <w:style w:type="character" w:customStyle="1" w:styleId="97">
    <w:name w:val="title21"/>
    <w:qFormat/>
    <w:uiPriority w:val="0"/>
    <w:rPr>
      <w:b/>
      <w:bCs/>
      <w:color w:val="000000"/>
      <w:sz w:val="20"/>
      <w:szCs w:val="20"/>
      <w:u w:val="none"/>
    </w:rPr>
  </w:style>
  <w:style w:type="paragraph" w:customStyle="1" w:styleId="98">
    <w:name w:val="列出段落1"/>
    <w:basedOn w:val="1"/>
    <w:qFormat/>
    <w:uiPriority w:val="0"/>
    <w:pPr>
      <w:ind w:firstLine="420" w:firstLineChars="200"/>
    </w:pPr>
  </w:style>
  <w:style w:type="paragraph" w:customStyle="1" w:styleId="9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Company>
  <Pages>66</Pages>
  <Words>31056</Words>
  <Characters>32360</Characters>
  <Lines>257</Lines>
  <Paragraphs>72</Paragraphs>
  <TotalTime>3</TotalTime>
  <ScaleCrop>false</ScaleCrop>
  <LinksUpToDate>false</LinksUpToDate>
  <CharactersWithSpaces>34324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2023-04-08T17:53:00Z</dcterms:created>
  <dc:creator>Administrator</dc:creator>
  <cp:lastModifiedBy>bgs</cp:lastModifiedBy>
  <cp:lastPrinted>2022-12-04T04:09:00Z</cp:lastPrinted>
  <dcterms:modified xsi:type="dcterms:W3CDTF">2025-09-22T11:19:45Z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BC40A930D9E54FA883424AF825C2C80F_13</vt:lpwstr>
  </property>
  <property fmtid="{D5CDD505-2E9C-101B-9397-08002B2CF9AE}" pid="4" name="commondata">
    <vt:lpwstr>eyJoZGlkIjoiMzA4ZThmMThhOWY4ZDU5MWM3NTNhNTc2OWVjMDAyNzMifQ==</vt:lpwstr>
  </property>
</Properties>
</file>