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center"/>
        <w:rPr>
          <w:rFonts w:ascii="方正小标宋简体" w:hAnsi="宋体" w:eastAsia="方正小标宋简体" w:cs="方正小标宋简体"/>
          <w:color w:val="000000"/>
          <w:sz w:val="36"/>
          <w:szCs w:val="36"/>
        </w:rPr>
      </w:pPr>
      <w:r>
        <w:rPr>
          <w:rFonts w:hint="eastAsia" w:ascii="方正小标宋简体" w:hAnsi="宋体" w:eastAsia="方正小标宋简体" w:cs="方正小标宋简体"/>
          <w:color w:val="000000"/>
          <w:sz w:val="36"/>
          <w:szCs w:val="36"/>
        </w:rPr>
        <w:t>《福</w:t>
      </w:r>
      <w:bookmarkStart w:id="0" w:name="_GoBack"/>
      <w:bookmarkEnd w:id="0"/>
      <w:r>
        <w:rPr>
          <w:rFonts w:hint="eastAsia" w:ascii="方正小标宋简体" w:hAnsi="宋体" w:eastAsia="方正小标宋简体" w:cs="方正小标宋简体"/>
          <w:color w:val="000000"/>
          <w:sz w:val="36"/>
          <w:szCs w:val="36"/>
        </w:rPr>
        <w:t>建省实施</w:t>
      </w:r>
      <w:r>
        <w:rPr>
          <w:rFonts w:ascii="方正小标宋简体" w:hAnsi="宋体" w:eastAsia="方正小标宋简体" w:cs="方正小标宋简体"/>
          <w:color w:val="000000"/>
          <w:sz w:val="36"/>
          <w:szCs w:val="36"/>
        </w:rPr>
        <w:t>&lt;</w:t>
      </w:r>
      <w:r>
        <w:rPr>
          <w:rFonts w:hint="eastAsia" w:ascii="方正小标宋简体" w:hAnsi="宋体" w:eastAsia="方正小标宋简体" w:cs="方正小标宋简体"/>
          <w:color w:val="000000"/>
          <w:sz w:val="36"/>
          <w:szCs w:val="36"/>
        </w:rPr>
        <w:t>中华人民共和国城市规划法</w:t>
      </w:r>
      <w:r>
        <w:rPr>
          <w:rFonts w:ascii="方正小标宋简体" w:hAnsi="宋体" w:eastAsia="方正小标宋简体" w:cs="方正小标宋简体"/>
          <w:color w:val="000000"/>
          <w:sz w:val="36"/>
          <w:szCs w:val="36"/>
        </w:rPr>
        <w:t>&gt;</w:t>
      </w:r>
      <w:r>
        <w:rPr>
          <w:rFonts w:hint="eastAsia" w:ascii="方正小标宋简体" w:hAnsi="宋体" w:eastAsia="方正小标宋简体" w:cs="方正小标宋简体"/>
          <w:color w:val="000000"/>
          <w:sz w:val="36"/>
          <w:szCs w:val="36"/>
        </w:rPr>
        <w:t>办法》</w:t>
      </w:r>
    </w:p>
    <w:p>
      <w:pPr>
        <w:spacing w:afterLines="50" w:line="600" w:lineRule="exact"/>
        <w:jc w:val="center"/>
        <w:rPr>
          <w:rFonts w:ascii="方正小标宋简体" w:hAnsi="宋体" w:eastAsia="方正小标宋简体" w:cs="方正小标宋简体"/>
          <w:b w:val="0"/>
          <w:bCs w:val="0"/>
          <w:color w:val="000000"/>
          <w:sz w:val="36"/>
          <w:szCs w:val="36"/>
        </w:rPr>
      </w:pPr>
      <w:r>
        <w:rPr>
          <w:rFonts w:ascii="方正小标宋简体" w:hAnsi="宋体" w:eastAsia="方正小标宋简体" w:cs="方正小标宋简体"/>
          <w:color w:val="000000"/>
          <w:sz w:val="36"/>
          <w:szCs w:val="36"/>
        </w:rPr>
        <w:t>(1995</w:t>
      </w:r>
      <w:r>
        <w:rPr>
          <w:rFonts w:hint="eastAsia" w:ascii="方正小标宋简体" w:hAnsi="宋体" w:eastAsia="方正小标宋简体" w:cs="方正小标宋简体"/>
          <w:color w:val="000000"/>
          <w:sz w:val="36"/>
          <w:szCs w:val="36"/>
        </w:rPr>
        <w:t>年</w:t>
      </w:r>
      <w:r>
        <w:rPr>
          <w:rFonts w:ascii="方正小标宋简体" w:hAnsi="宋体" w:eastAsia="方正小标宋简体" w:cs="方正小标宋简体"/>
          <w:color w:val="000000"/>
          <w:sz w:val="36"/>
          <w:szCs w:val="36"/>
        </w:rPr>
        <w:t>11</w:t>
      </w:r>
      <w:r>
        <w:rPr>
          <w:rFonts w:hint="eastAsia" w:ascii="方正小标宋简体" w:hAnsi="宋体" w:eastAsia="方正小标宋简体" w:cs="方正小标宋简体"/>
          <w:color w:val="000000"/>
          <w:sz w:val="36"/>
          <w:szCs w:val="36"/>
        </w:rPr>
        <w:t>月</w:t>
      </w:r>
      <w:r>
        <w:rPr>
          <w:rFonts w:ascii="方正小标宋简体" w:hAnsi="宋体" w:eastAsia="方正小标宋简体" w:cs="方正小标宋简体"/>
          <w:color w:val="000000"/>
          <w:sz w:val="36"/>
          <w:szCs w:val="36"/>
        </w:rPr>
        <w:t>24</w:t>
      </w:r>
      <w:r>
        <w:rPr>
          <w:rFonts w:hint="eastAsia" w:ascii="方正小标宋简体" w:hAnsi="宋体" w:eastAsia="方正小标宋简体" w:cs="方正小标宋简体"/>
          <w:color w:val="000000"/>
          <w:sz w:val="36"/>
          <w:szCs w:val="36"/>
        </w:rPr>
        <w:t>日修正，</w:t>
      </w:r>
      <w:r>
        <w:rPr>
          <w:rFonts w:ascii="方正小标宋简体" w:hAnsi="宋体" w:eastAsia="方正小标宋简体" w:cs="方正小标宋简体"/>
          <w:color w:val="000000"/>
          <w:sz w:val="36"/>
          <w:szCs w:val="36"/>
        </w:rPr>
        <w:t>202</w:t>
      </w:r>
      <w:r>
        <w:rPr>
          <w:rFonts w:hint="eastAsia" w:ascii="方正小标宋简体" w:hAnsi="宋体" w:eastAsia="方正小标宋简体" w:cs="方正小标宋简体"/>
          <w:color w:val="000000"/>
          <w:sz w:val="36"/>
          <w:szCs w:val="36"/>
        </w:rPr>
        <w:t>3年修改裁量权基准</w:t>
      </w:r>
      <w:r>
        <w:rPr>
          <w:rFonts w:ascii="方正小标宋简体" w:hAnsi="宋体" w:eastAsia="方正小标宋简体" w:cs="方正小标宋简体"/>
          <w:color w:val="000000"/>
          <w:sz w:val="36"/>
          <w:szCs w:val="36"/>
        </w:rPr>
        <w:t>)</w:t>
      </w:r>
    </w:p>
    <w:tbl>
      <w:tblPr>
        <w:tblStyle w:val="10"/>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848"/>
        <w:gridCol w:w="3118"/>
        <w:gridCol w:w="3205"/>
        <w:gridCol w:w="896"/>
        <w:gridCol w:w="3149"/>
        <w:gridCol w:w="2178"/>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Merge w:val="restart"/>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序号</w:t>
            </w:r>
          </w:p>
        </w:tc>
        <w:tc>
          <w:tcPr>
            <w:tcW w:w="848"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违法行为</w:t>
            </w:r>
          </w:p>
        </w:tc>
        <w:tc>
          <w:tcPr>
            <w:tcW w:w="3118" w:type="dxa"/>
            <w:vMerge w:val="restart"/>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定案依据</w:t>
            </w:r>
          </w:p>
        </w:tc>
        <w:tc>
          <w:tcPr>
            <w:tcW w:w="3205"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处罚依据</w:t>
            </w:r>
          </w:p>
        </w:tc>
        <w:tc>
          <w:tcPr>
            <w:tcW w:w="4045" w:type="dxa"/>
            <w:gridSpan w:val="2"/>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w:t>
            </w:r>
          </w:p>
        </w:tc>
        <w:tc>
          <w:tcPr>
            <w:tcW w:w="2178"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处罚标准</w:t>
            </w:r>
          </w:p>
        </w:tc>
        <w:tc>
          <w:tcPr>
            <w:tcW w:w="568" w:type="dxa"/>
            <w:vMerge w:val="restart"/>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Merge w:val="continue"/>
            <w:vAlign w:val="center"/>
          </w:tcPr>
          <w:p>
            <w:pPr>
              <w:widowControl/>
              <w:spacing w:line="320" w:lineRule="exact"/>
              <w:jc w:val="left"/>
              <w:rPr>
                <w:rFonts w:ascii="宋体"/>
                <w:b/>
                <w:bCs/>
                <w:color w:val="000000"/>
                <w:kern w:val="0"/>
              </w:rPr>
            </w:pPr>
          </w:p>
        </w:tc>
        <w:tc>
          <w:tcPr>
            <w:tcW w:w="848" w:type="dxa"/>
            <w:vMerge w:val="continue"/>
            <w:vAlign w:val="center"/>
          </w:tcPr>
          <w:p>
            <w:pPr>
              <w:widowControl/>
              <w:spacing w:line="320" w:lineRule="exact"/>
              <w:jc w:val="left"/>
              <w:rPr>
                <w:rFonts w:ascii="宋体"/>
                <w:b/>
                <w:bCs/>
                <w:color w:val="000000"/>
                <w:kern w:val="0"/>
              </w:rPr>
            </w:pPr>
          </w:p>
        </w:tc>
        <w:tc>
          <w:tcPr>
            <w:tcW w:w="3118" w:type="dxa"/>
            <w:vMerge w:val="continue"/>
            <w:vAlign w:val="center"/>
          </w:tcPr>
          <w:p>
            <w:pPr>
              <w:widowControl/>
              <w:spacing w:line="320" w:lineRule="exact"/>
              <w:jc w:val="left"/>
              <w:rPr>
                <w:rFonts w:ascii="宋体"/>
                <w:b/>
                <w:bCs/>
                <w:color w:val="000000"/>
                <w:kern w:val="0"/>
              </w:rPr>
            </w:pPr>
          </w:p>
        </w:tc>
        <w:tc>
          <w:tcPr>
            <w:tcW w:w="3205" w:type="dxa"/>
            <w:vMerge w:val="continue"/>
            <w:vAlign w:val="center"/>
          </w:tcPr>
          <w:p>
            <w:pPr>
              <w:widowControl/>
              <w:spacing w:line="320" w:lineRule="exact"/>
              <w:jc w:val="left"/>
              <w:rPr>
                <w:rFonts w:ascii="宋体"/>
                <w:b/>
                <w:bCs/>
                <w:color w:val="000000"/>
                <w:kern w:val="0"/>
              </w:rPr>
            </w:pPr>
          </w:p>
        </w:tc>
        <w:tc>
          <w:tcPr>
            <w:tcW w:w="896" w:type="dxa"/>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情节</w:t>
            </w:r>
          </w:p>
          <w:p>
            <w:pPr>
              <w:widowControl/>
              <w:spacing w:line="320" w:lineRule="exact"/>
              <w:jc w:val="center"/>
              <w:rPr>
                <w:rFonts w:ascii="宋体"/>
                <w:b/>
                <w:bCs/>
                <w:color w:val="000000"/>
                <w:kern w:val="0"/>
              </w:rPr>
            </w:pPr>
            <w:r>
              <w:rPr>
                <w:rFonts w:hint="eastAsia" w:ascii="宋体" w:hAnsi="宋体" w:cs="宋体"/>
                <w:b/>
                <w:bCs/>
                <w:color w:val="000000"/>
                <w:kern w:val="0"/>
              </w:rPr>
              <w:t>分类</w:t>
            </w:r>
          </w:p>
        </w:tc>
        <w:tc>
          <w:tcPr>
            <w:tcW w:w="3149" w:type="dxa"/>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违法情节的详细的描述</w:t>
            </w:r>
          </w:p>
        </w:tc>
        <w:tc>
          <w:tcPr>
            <w:tcW w:w="2178" w:type="dxa"/>
            <w:vMerge w:val="continue"/>
            <w:vAlign w:val="center"/>
          </w:tcPr>
          <w:p>
            <w:pPr>
              <w:widowControl/>
              <w:spacing w:line="320" w:lineRule="exact"/>
              <w:jc w:val="left"/>
              <w:rPr>
                <w:rFonts w:ascii="宋体"/>
                <w:b/>
                <w:bCs/>
                <w:color w:val="000000"/>
                <w:kern w:val="0"/>
              </w:rPr>
            </w:pPr>
          </w:p>
        </w:tc>
        <w:tc>
          <w:tcPr>
            <w:tcW w:w="568"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1</w:t>
            </w:r>
          </w:p>
        </w:tc>
        <w:tc>
          <w:tcPr>
            <w:tcW w:w="84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严重影响城市规划</w:t>
            </w:r>
          </w:p>
        </w:tc>
        <w:tc>
          <w:tcPr>
            <w:tcW w:w="311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《福建省实施〈中华人民共和国城市规划法〉办法》第四十一条第一款  在城市规划区内新建、扩建和改建建筑物、构筑物、道路、管线和其他工程设施，必须取得建设工程规划许可证。</w:t>
            </w:r>
          </w:p>
        </w:tc>
        <w:tc>
          <w:tcPr>
            <w:tcW w:w="3205"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《福建省实施〈中华人民共和国城市规划法〉办法》第五十九条第一款  在城市规划区内，未取得建设工程规划许可证或者违反建设工程规划许可证规定进行建设的，按《城市规划法》第四十条规定处罚。其中并处罚款数额为该违法建设项目整体工程造价的</w:t>
            </w:r>
            <w:r>
              <w:rPr>
                <w:rFonts w:ascii="宋体" w:hAnsi="宋体" w:cs="宋体"/>
                <w:color w:val="000000"/>
                <w:kern w:val="0"/>
              </w:rPr>
              <w:t>5-15%</w:t>
            </w:r>
            <w:r>
              <w:rPr>
                <w:rFonts w:hint="eastAsia" w:ascii="宋体" w:hAnsi="宋体" w:cs="宋体"/>
                <w:color w:val="000000"/>
                <w:kern w:val="0"/>
              </w:rPr>
              <w:t>。</w:t>
            </w:r>
            <w:r>
              <w:rPr>
                <w:rFonts w:ascii="宋体" w:hAnsi="宋体" w:cs="宋体"/>
                <w:color w:val="000000"/>
                <w:kern w:val="0"/>
              </w:rPr>
              <w:t xml:space="preserve"> </w:t>
            </w:r>
          </w:p>
        </w:tc>
        <w:tc>
          <w:tcPr>
            <w:tcW w:w="896" w:type="dxa"/>
            <w:vMerge w:val="restart"/>
            <w:vAlign w:val="center"/>
          </w:tcPr>
          <w:p>
            <w:pPr>
              <w:widowControl/>
              <w:spacing w:line="320" w:lineRule="exact"/>
              <w:jc w:val="center"/>
              <w:rPr>
                <w:rFonts w:ascii="宋体"/>
                <w:color w:val="000000"/>
                <w:kern w:val="0"/>
              </w:rPr>
            </w:pPr>
            <w:r>
              <w:rPr>
                <w:rFonts w:ascii="宋体" w:hAnsi="宋体" w:cs="宋体"/>
                <w:color w:val="000000"/>
                <w:kern w:val="0"/>
              </w:rPr>
              <w:t xml:space="preserve"> </w:t>
            </w:r>
          </w:p>
        </w:tc>
        <w:tc>
          <w:tcPr>
            <w:tcW w:w="3149"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占用城市规划确定保留或者预留的道路、广场、高压供电走廊、电讯广播通道、地下管线位置、绿地、水面、风景名胜、文物古迹、文教体育和其他公共活动场地，进行违反规划要求的建设；违法情节严重者，其建筑物、构筑物和其他设施应予以没收。擅自改变建筑物、构筑物和其他设施的使用性质，擅自改变规定的土地使用性质</w:t>
            </w:r>
          </w:p>
        </w:tc>
        <w:tc>
          <w:tcPr>
            <w:tcW w:w="217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责令停止建设，限期拆除或者没收违法建筑物、构筑物或者其他设施，改正并处罚款</w:t>
            </w:r>
          </w:p>
        </w:tc>
        <w:tc>
          <w:tcPr>
            <w:tcW w:w="568" w:type="dxa"/>
            <w:vMerge w:val="restart"/>
            <w:vAlign w:val="center"/>
          </w:tcPr>
          <w:p>
            <w:pPr>
              <w:widowControl/>
              <w:spacing w:line="320" w:lineRule="exact"/>
              <w:jc w:val="left"/>
              <w:rPr>
                <w:rFonts w:ascii="宋体"/>
                <w:color w:val="000000"/>
                <w:kern w:val="0"/>
              </w:rPr>
            </w:pPr>
            <w:r>
              <w:rPr>
                <w:rFonts w:ascii="宋体" w:hAnsi="宋体" w:cs="宋体"/>
                <w:color w:val="000000"/>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Merge w:val="continue"/>
            <w:vAlign w:val="center"/>
          </w:tcPr>
          <w:p>
            <w:pPr>
              <w:widowControl/>
              <w:spacing w:line="320" w:lineRule="exact"/>
              <w:jc w:val="left"/>
              <w:rPr>
                <w:rFonts w:ascii="宋体"/>
                <w:color w:val="000000"/>
                <w:kern w:val="0"/>
              </w:rPr>
            </w:pPr>
          </w:p>
        </w:tc>
        <w:tc>
          <w:tcPr>
            <w:tcW w:w="3149" w:type="dxa"/>
            <w:vMerge w:val="continue"/>
            <w:vAlign w:val="center"/>
          </w:tcPr>
          <w:p>
            <w:pPr>
              <w:widowControl/>
              <w:spacing w:line="320" w:lineRule="exact"/>
              <w:jc w:val="left"/>
              <w:rPr>
                <w:rFonts w:ascii="宋体"/>
                <w:color w:val="000000"/>
                <w:kern w:val="0"/>
              </w:rPr>
            </w:pPr>
          </w:p>
        </w:tc>
        <w:tc>
          <w:tcPr>
            <w:tcW w:w="2178" w:type="dxa"/>
            <w:vMerge w:val="continue"/>
            <w:vAlign w:val="center"/>
          </w:tcPr>
          <w:p>
            <w:pPr>
              <w:widowControl/>
              <w:spacing w:line="320" w:lineRule="exact"/>
              <w:jc w:val="left"/>
              <w:rPr>
                <w:rFonts w:ascii="宋体"/>
                <w:color w:val="000000"/>
                <w:kern w:val="0"/>
              </w:rPr>
            </w:pP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Merge w:val="continue"/>
            <w:vAlign w:val="center"/>
          </w:tcPr>
          <w:p>
            <w:pPr>
              <w:widowControl/>
              <w:spacing w:line="320" w:lineRule="exact"/>
              <w:jc w:val="left"/>
              <w:rPr>
                <w:rFonts w:ascii="宋体"/>
                <w:color w:val="000000"/>
                <w:kern w:val="0"/>
              </w:rPr>
            </w:pPr>
          </w:p>
        </w:tc>
        <w:tc>
          <w:tcPr>
            <w:tcW w:w="3149" w:type="dxa"/>
            <w:vMerge w:val="continue"/>
            <w:vAlign w:val="center"/>
          </w:tcPr>
          <w:p>
            <w:pPr>
              <w:widowControl/>
              <w:spacing w:line="320" w:lineRule="exact"/>
              <w:jc w:val="left"/>
              <w:rPr>
                <w:rFonts w:ascii="宋体"/>
                <w:color w:val="000000"/>
                <w:kern w:val="0"/>
              </w:rPr>
            </w:pPr>
          </w:p>
        </w:tc>
        <w:tc>
          <w:tcPr>
            <w:tcW w:w="2178" w:type="dxa"/>
            <w:vMerge w:val="continue"/>
            <w:vAlign w:val="center"/>
          </w:tcPr>
          <w:p>
            <w:pPr>
              <w:widowControl/>
              <w:spacing w:line="320" w:lineRule="exact"/>
              <w:jc w:val="left"/>
              <w:rPr>
                <w:rFonts w:ascii="宋体"/>
                <w:color w:val="000000"/>
                <w:kern w:val="0"/>
              </w:rPr>
            </w:pP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2</w:t>
            </w:r>
          </w:p>
        </w:tc>
        <w:tc>
          <w:tcPr>
            <w:tcW w:w="84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违法建设尚可改正</w:t>
            </w:r>
          </w:p>
        </w:tc>
        <w:tc>
          <w:tcPr>
            <w:tcW w:w="3118" w:type="dxa"/>
            <w:vMerge w:val="restart"/>
            <w:vAlign w:val="center"/>
          </w:tcPr>
          <w:p>
            <w:pPr>
              <w:widowControl/>
              <w:spacing w:line="320" w:lineRule="exact"/>
              <w:jc w:val="left"/>
              <w:rPr>
                <w:rFonts w:ascii="宋体" w:cs="宋体"/>
                <w:color w:val="000000"/>
                <w:kern w:val="0"/>
              </w:rPr>
            </w:pPr>
            <w:r>
              <w:rPr>
                <w:rFonts w:hint="eastAsia" w:ascii="宋体" w:hAnsi="宋体" w:cs="宋体"/>
                <w:color w:val="000000"/>
                <w:kern w:val="0"/>
              </w:rPr>
              <w:t>《福建省实施〈中华人民共和国城市规划法〉办法》第四十一条第一款  在城市规划区内新建、扩建和改建建筑物、构筑物、道路、管线和其他工程设施，必须取得建设工程规划许可证。</w:t>
            </w:r>
          </w:p>
        </w:tc>
        <w:tc>
          <w:tcPr>
            <w:tcW w:w="3205" w:type="dxa"/>
            <w:vMerge w:val="restart"/>
            <w:vAlign w:val="center"/>
          </w:tcPr>
          <w:p>
            <w:pPr>
              <w:widowControl/>
              <w:spacing w:line="320" w:lineRule="exact"/>
              <w:jc w:val="left"/>
              <w:rPr>
                <w:rFonts w:ascii="宋体" w:cs="宋体"/>
                <w:color w:val="000000"/>
                <w:kern w:val="0"/>
              </w:rPr>
            </w:pPr>
            <w:r>
              <w:rPr>
                <w:rFonts w:hint="eastAsia" w:ascii="宋体" w:hAnsi="宋体" w:cs="宋体"/>
                <w:color w:val="000000"/>
                <w:kern w:val="0"/>
              </w:rPr>
              <w:t>《福建省实施〈中华人民共和国城市规划法〉办法》第五十九条第一款  在城市规划区内，未取得建设工程规划许可证或者违反建设工程规划许可证规定进行建设的，按《城市规划法》第四十条规定处罚。其中并处罚款数额为该违法建设项目整体工程造价的</w:t>
            </w:r>
            <w:r>
              <w:rPr>
                <w:rFonts w:ascii="宋体" w:hAnsi="宋体" w:cs="宋体"/>
                <w:color w:val="000000"/>
                <w:kern w:val="0"/>
              </w:rPr>
              <w:t>5-15%</w:t>
            </w:r>
            <w:r>
              <w:rPr>
                <w:rFonts w:hint="eastAsia" w:ascii="宋体" w:hAnsi="宋体" w:cs="宋体"/>
                <w:color w:val="000000"/>
                <w:kern w:val="0"/>
              </w:rPr>
              <w:t>。</w:t>
            </w:r>
            <w:r>
              <w:rPr>
                <w:rFonts w:ascii="宋体" w:hAnsi="宋体" w:cs="宋体"/>
                <w:color w:val="000000"/>
                <w:kern w:val="0"/>
              </w:rPr>
              <w:t xml:space="preserve"> </w:t>
            </w:r>
          </w:p>
        </w:tc>
        <w:tc>
          <w:tcPr>
            <w:tcW w:w="896" w:type="dxa"/>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149" w:type="dxa"/>
            <w:vAlign w:val="center"/>
          </w:tcPr>
          <w:p>
            <w:pPr>
              <w:widowControl/>
              <w:spacing w:line="320" w:lineRule="exact"/>
              <w:jc w:val="left"/>
              <w:rPr>
                <w:rFonts w:ascii="宋体" w:cs="Times New Roman"/>
                <w:color w:val="auto"/>
                <w:kern w:val="0"/>
              </w:rPr>
            </w:pPr>
            <w:r>
              <w:rPr>
                <w:rFonts w:hint="eastAsia" w:ascii="宋体" w:hAnsi="宋体" w:cs="宋体"/>
                <w:color w:val="auto"/>
                <w:kern w:val="0"/>
              </w:rPr>
              <w:t>超建面积占审批面积</w:t>
            </w:r>
            <w:r>
              <w:rPr>
                <w:rFonts w:ascii="宋体" w:hAnsi="宋体" w:cs="宋体"/>
                <w:color w:val="auto"/>
                <w:kern w:val="0"/>
              </w:rPr>
              <w:t>5</w:t>
            </w:r>
            <w:r>
              <w:rPr>
                <w:rFonts w:ascii="宋体" w:hAnsi="宋体" w:cs="宋体"/>
                <w:color w:val="auto"/>
                <w:kern w:val="0"/>
              </w:rPr>
              <w:t>%</w:t>
            </w:r>
            <w:r>
              <w:rPr>
                <w:rFonts w:hint="eastAsia" w:ascii="宋体" w:hAnsi="宋体" w:cs="宋体"/>
                <w:color w:val="auto"/>
                <w:kern w:val="0"/>
              </w:rPr>
              <w:t>以下的</w:t>
            </w:r>
            <w:r>
              <w:rPr>
                <w:rFonts w:hint="eastAsia" w:ascii="宋体" w:hAnsi="宋体" w:cs="宋体"/>
                <w:color w:val="auto"/>
                <w:kern w:val="0"/>
              </w:rPr>
              <w:t>；违法建设面积</w:t>
            </w:r>
            <w:r>
              <w:rPr>
                <w:rFonts w:ascii="宋体" w:hAnsi="宋体" w:cs="宋体"/>
                <w:color w:val="auto"/>
                <w:kern w:val="0"/>
              </w:rPr>
              <w:t>100平方米以下的。</w:t>
            </w:r>
          </w:p>
        </w:tc>
        <w:tc>
          <w:tcPr>
            <w:tcW w:w="2178" w:type="dxa"/>
            <w:vAlign w:val="center"/>
          </w:tcPr>
          <w:p>
            <w:pPr>
              <w:widowControl/>
              <w:spacing w:line="320" w:lineRule="exact"/>
              <w:jc w:val="left"/>
              <w:rPr>
                <w:rFonts w:ascii="宋体"/>
                <w:color w:val="000000"/>
                <w:kern w:val="0"/>
              </w:rPr>
            </w:pPr>
            <w:r>
              <w:rPr>
                <w:rFonts w:hint="eastAsia" w:ascii="宋体" w:hAnsi="宋体" w:cs="宋体"/>
                <w:color w:val="000000"/>
                <w:kern w:val="0"/>
              </w:rPr>
              <w:t>责令其限期改正，按该违法建设项目整体工程造价的</w:t>
            </w:r>
            <w:r>
              <w:rPr>
                <w:rFonts w:ascii="宋体" w:hAnsi="宋体" w:cs="宋体"/>
                <w:color w:val="000000"/>
                <w:kern w:val="0"/>
              </w:rPr>
              <w:t>5%</w:t>
            </w:r>
            <w:r>
              <w:rPr>
                <w:rFonts w:hint="eastAsia" w:ascii="宋体" w:hAnsi="宋体" w:cs="宋体"/>
                <w:color w:val="000000"/>
                <w:kern w:val="0"/>
              </w:rPr>
              <w:t>罚款</w:t>
            </w:r>
            <w:r>
              <w:rPr>
                <w:rFonts w:ascii="宋体" w:hAnsi="宋体" w:cs="宋体"/>
                <w:color w:val="000000"/>
                <w:kern w:val="0"/>
              </w:rPr>
              <w:t xml:space="preserve"> </w:t>
            </w:r>
          </w:p>
        </w:tc>
        <w:tc>
          <w:tcPr>
            <w:tcW w:w="56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149" w:type="dxa"/>
            <w:vAlign w:val="center"/>
          </w:tcPr>
          <w:p>
            <w:pPr>
              <w:widowControl/>
              <w:spacing w:line="320" w:lineRule="exact"/>
              <w:jc w:val="left"/>
              <w:rPr>
                <w:rFonts w:ascii="宋体" w:cs="Times New Roman"/>
                <w:color w:val="auto"/>
                <w:kern w:val="0"/>
              </w:rPr>
            </w:pPr>
            <w:r>
              <w:rPr>
                <w:rFonts w:hint="eastAsia" w:ascii="宋体" w:hAnsi="宋体" w:cs="宋体"/>
                <w:color w:val="auto"/>
                <w:kern w:val="0"/>
              </w:rPr>
              <w:t>超建面积占审批面积</w:t>
            </w:r>
            <w:r>
              <w:rPr>
                <w:rFonts w:ascii="宋体" w:hAnsi="宋体" w:cs="宋体"/>
                <w:color w:val="auto"/>
                <w:kern w:val="0"/>
              </w:rPr>
              <w:t>5%</w:t>
            </w:r>
            <w:r>
              <w:rPr>
                <w:rFonts w:hint="eastAsia" w:ascii="宋体" w:hAnsi="宋体" w:cs="宋体"/>
                <w:color w:val="auto"/>
                <w:kern w:val="0"/>
              </w:rPr>
              <w:t>以上</w:t>
            </w:r>
            <w:r>
              <w:rPr>
                <w:rFonts w:ascii="宋体" w:hAnsi="宋体" w:cs="宋体"/>
                <w:color w:val="auto"/>
                <w:kern w:val="0"/>
              </w:rPr>
              <w:t>10</w:t>
            </w:r>
            <w:r>
              <w:rPr>
                <w:rFonts w:ascii="宋体" w:hAnsi="宋体" w:cs="宋体"/>
                <w:color w:val="auto"/>
                <w:kern w:val="0"/>
              </w:rPr>
              <w:t>%</w:t>
            </w:r>
            <w:r>
              <w:rPr>
                <w:rFonts w:hint="eastAsia" w:ascii="宋体" w:hAnsi="宋体" w:cs="宋体"/>
                <w:color w:val="auto"/>
                <w:kern w:val="0"/>
              </w:rPr>
              <w:t>以下</w:t>
            </w:r>
            <w:r>
              <w:rPr>
                <w:rFonts w:hint="eastAsia" w:ascii="宋体" w:hAnsi="宋体" w:cs="宋体"/>
                <w:color w:val="auto"/>
                <w:kern w:val="0"/>
              </w:rPr>
              <w:t>的</w:t>
            </w:r>
            <w:r>
              <w:rPr>
                <w:rFonts w:hint="eastAsia" w:ascii="宋体" w:hAnsi="宋体" w:cs="宋体"/>
                <w:color w:val="auto"/>
                <w:kern w:val="0"/>
              </w:rPr>
              <w:t>；违法建设面积</w:t>
            </w:r>
            <w:r>
              <w:rPr>
                <w:rFonts w:ascii="宋体" w:hAnsi="宋体" w:cs="宋体"/>
                <w:color w:val="auto"/>
                <w:kern w:val="0"/>
              </w:rPr>
              <w:t>100平方米以上200平方米以下的。</w:t>
            </w:r>
          </w:p>
        </w:tc>
        <w:tc>
          <w:tcPr>
            <w:tcW w:w="2178" w:type="dxa"/>
            <w:vAlign w:val="center"/>
          </w:tcPr>
          <w:p>
            <w:pPr>
              <w:widowControl/>
              <w:spacing w:line="320" w:lineRule="exact"/>
              <w:jc w:val="left"/>
              <w:rPr>
                <w:rFonts w:ascii="宋体"/>
                <w:color w:val="000000"/>
                <w:kern w:val="0"/>
              </w:rPr>
            </w:pPr>
            <w:r>
              <w:rPr>
                <w:rFonts w:hint="eastAsia" w:ascii="宋体" w:hAnsi="宋体" w:cs="宋体"/>
                <w:color w:val="000000"/>
                <w:kern w:val="0"/>
              </w:rPr>
              <w:t>责令其限期改正，按该违法建设项目整体工程造价的</w:t>
            </w:r>
            <w:r>
              <w:rPr>
                <w:rFonts w:ascii="宋体" w:hAnsi="宋体" w:cs="宋体"/>
                <w:color w:val="000000"/>
                <w:kern w:val="0"/>
              </w:rPr>
              <w:t>5%</w:t>
            </w:r>
            <w:r>
              <w:rPr>
                <w:rFonts w:hint="eastAsia" w:ascii="宋体" w:hAnsi="宋体" w:cs="宋体"/>
                <w:color w:val="000000"/>
                <w:kern w:val="0"/>
              </w:rPr>
              <w:t>以上</w:t>
            </w:r>
            <w:r>
              <w:rPr>
                <w:rFonts w:ascii="宋体" w:hAnsi="宋体" w:cs="宋体"/>
                <w:color w:val="000000"/>
                <w:kern w:val="0"/>
              </w:rPr>
              <w:t>10%</w:t>
            </w:r>
            <w:r>
              <w:rPr>
                <w:rFonts w:hint="eastAsia" w:ascii="宋体" w:hAnsi="宋体" w:cs="宋体"/>
                <w:color w:val="000000"/>
                <w:kern w:val="0"/>
              </w:rPr>
              <w:t>以下罚款</w:t>
            </w: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Merge w:val="restart"/>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149" w:type="dxa"/>
            <w:vMerge w:val="restart"/>
            <w:vAlign w:val="center"/>
          </w:tcPr>
          <w:p>
            <w:pPr>
              <w:widowControl/>
              <w:spacing w:line="320" w:lineRule="exact"/>
              <w:rPr>
                <w:rFonts w:ascii="宋体"/>
                <w:color w:val="auto"/>
                <w:kern w:val="0"/>
              </w:rPr>
            </w:pPr>
            <w:r>
              <w:rPr>
                <w:rFonts w:hint="eastAsia" w:ascii="宋体" w:hAnsi="宋体" w:cs="宋体"/>
                <w:color w:val="auto"/>
                <w:kern w:val="0"/>
              </w:rPr>
              <w:t>超建面积占审批面积</w:t>
            </w:r>
            <w:r>
              <w:rPr>
                <w:rFonts w:ascii="宋体" w:hAnsi="宋体" w:cs="宋体"/>
                <w:color w:val="auto"/>
                <w:kern w:val="0"/>
              </w:rPr>
              <w:t>10</w:t>
            </w:r>
            <w:r>
              <w:rPr>
                <w:rFonts w:ascii="宋体" w:hAnsi="宋体" w:cs="宋体"/>
                <w:color w:val="auto"/>
                <w:kern w:val="0"/>
              </w:rPr>
              <w:t>%</w:t>
            </w:r>
            <w:r>
              <w:rPr>
                <w:rFonts w:hint="eastAsia" w:ascii="宋体" w:hAnsi="宋体" w:cs="宋体"/>
                <w:color w:val="auto"/>
                <w:kern w:val="0"/>
              </w:rPr>
              <w:t>以上的；</w:t>
            </w:r>
            <w:r>
              <w:rPr>
                <w:rFonts w:hint="eastAsia" w:ascii="宋体" w:hAnsi="宋体" w:cs="宋体"/>
                <w:color w:val="auto"/>
                <w:kern w:val="0"/>
              </w:rPr>
              <w:t>违法建设面积</w:t>
            </w:r>
            <w:r>
              <w:rPr>
                <w:rFonts w:ascii="宋体" w:hAnsi="宋体" w:cs="宋体"/>
                <w:color w:val="auto"/>
                <w:kern w:val="0"/>
              </w:rPr>
              <w:t>200平方米以</w:t>
            </w:r>
            <w:r>
              <w:rPr>
                <w:rFonts w:hint="eastAsia" w:ascii="宋体" w:hAnsi="宋体" w:cs="宋体"/>
                <w:color w:val="auto"/>
                <w:kern w:val="0"/>
              </w:rPr>
              <w:t>上的。</w:t>
            </w:r>
          </w:p>
        </w:tc>
        <w:tc>
          <w:tcPr>
            <w:tcW w:w="2178" w:type="dxa"/>
            <w:vMerge w:val="restart"/>
            <w:vAlign w:val="center"/>
          </w:tcPr>
          <w:p>
            <w:pPr>
              <w:widowControl/>
              <w:spacing w:line="320" w:lineRule="exact"/>
              <w:rPr>
                <w:rFonts w:ascii="宋体"/>
                <w:color w:val="000000"/>
                <w:kern w:val="0"/>
              </w:rPr>
            </w:pPr>
            <w:r>
              <w:rPr>
                <w:rFonts w:hint="eastAsia" w:ascii="宋体" w:hAnsi="宋体" w:cs="宋体"/>
                <w:color w:val="000000"/>
                <w:kern w:val="0"/>
              </w:rPr>
              <w:t>责令其限期改正，按该违法建设项目整体工程造价的</w:t>
            </w:r>
            <w:r>
              <w:rPr>
                <w:rFonts w:ascii="宋体" w:hAnsi="宋体" w:cs="宋体"/>
                <w:color w:val="000000"/>
                <w:kern w:val="0"/>
              </w:rPr>
              <w:t>10%</w:t>
            </w:r>
            <w:r>
              <w:rPr>
                <w:rFonts w:hint="eastAsia" w:ascii="宋体" w:hAnsi="宋体" w:cs="宋体"/>
                <w:color w:val="000000"/>
                <w:kern w:val="0"/>
              </w:rPr>
              <w:t>以上</w:t>
            </w:r>
            <w:r>
              <w:rPr>
                <w:rFonts w:ascii="宋体" w:hAnsi="宋体" w:cs="宋体"/>
                <w:color w:val="000000"/>
                <w:kern w:val="0"/>
              </w:rPr>
              <w:t>15%</w:t>
            </w:r>
            <w:r>
              <w:rPr>
                <w:rFonts w:hint="eastAsia" w:ascii="宋体" w:hAnsi="宋体" w:cs="宋体"/>
                <w:color w:val="000000"/>
                <w:kern w:val="0"/>
              </w:rPr>
              <w:t>以下罚款</w:t>
            </w: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Merge w:val="continue"/>
            <w:vAlign w:val="center"/>
          </w:tcPr>
          <w:p>
            <w:pPr>
              <w:widowControl/>
              <w:spacing w:line="320" w:lineRule="exact"/>
              <w:jc w:val="left"/>
              <w:rPr>
                <w:rFonts w:ascii="宋体"/>
                <w:color w:val="000000"/>
                <w:kern w:val="0"/>
              </w:rPr>
            </w:pPr>
          </w:p>
        </w:tc>
        <w:tc>
          <w:tcPr>
            <w:tcW w:w="3149" w:type="dxa"/>
            <w:vMerge w:val="continue"/>
            <w:vAlign w:val="center"/>
          </w:tcPr>
          <w:p>
            <w:pPr>
              <w:widowControl/>
              <w:spacing w:line="320" w:lineRule="exact"/>
              <w:jc w:val="left"/>
              <w:rPr>
                <w:rFonts w:ascii="宋体"/>
                <w:color w:val="000000"/>
                <w:kern w:val="0"/>
              </w:rPr>
            </w:pPr>
          </w:p>
        </w:tc>
        <w:tc>
          <w:tcPr>
            <w:tcW w:w="2178" w:type="dxa"/>
            <w:vMerge w:val="continue"/>
            <w:vAlign w:val="center"/>
          </w:tcPr>
          <w:p>
            <w:pPr>
              <w:widowControl/>
              <w:spacing w:line="320" w:lineRule="exact"/>
              <w:jc w:val="left"/>
              <w:rPr>
                <w:rFonts w:ascii="宋体"/>
                <w:color w:val="000000"/>
                <w:kern w:val="0"/>
              </w:rPr>
            </w:pP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restart"/>
            <w:noWrap/>
            <w:vAlign w:val="center"/>
          </w:tcPr>
          <w:p>
            <w:pPr>
              <w:widowControl/>
              <w:spacing w:line="320" w:lineRule="exact"/>
              <w:jc w:val="center"/>
              <w:rPr>
                <w:rFonts w:ascii="宋体"/>
                <w:color w:val="000000"/>
                <w:kern w:val="0"/>
              </w:rPr>
            </w:pPr>
            <w:r>
              <w:rPr>
                <w:rFonts w:ascii="宋体" w:hAnsi="宋体" w:cs="宋体"/>
                <w:color w:val="000000"/>
                <w:kern w:val="0"/>
              </w:rPr>
              <w:t>3</w:t>
            </w:r>
          </w:p>
        </w:tc>
        <w:tc>
          <w:tcPr>
            <w:tcW w:w="84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擅自改变使用性质</w:t>
            </w:r>
          </w:p>
        </w:tc>
        <w:tc>
          <w:tcPr>
            <w:tcW w:w="3118" w:type="dxa"/>
            <w:vMerge w:val="restart"/>
            <w:vAlign w:val="center"/>
          </w:tcPr>
          <w:p>
            <w:pPr>
              <w:widowControl/>
              <w:spacing w:line="320" w:lineRule="exact"/>
              <w:jc w:val="center"/>
              <w:rPr>
                <w:rFonts w:ascii="宋体"/>
                <w:color w:val="000000"/>
                <w:kern w:val="0"/>
              </w:rPr>
            </w:pPr>
            <w:r>
              <w:rPr>
                <w:rFonts w:hint="eastAsia" w:ascii="宋体" w:hAnsi="宋体" w:cs="宋体"/>
                <w:color w:val="000000"/>
                <w:kern w:val="0"/>
              </w:rPr>
              <w:t>　</w:t>
            </w:r>
          </w:p>
        </w:tc>
        <w:tc>
          <w:tcPr>
            <w:tcW w:w="3205" w:type="dxa"/>
            <w:vMerge w:val="restart"/>
            <w:vAlign w:val="center"/>
          </w:tcPr>
          <w:p>
            <w:pPr>
              <w:widowControl/>
              <w:spacing w:line="320" w:lineRule="exact"/>
              <w:jc w:val="left"/>
              <w:rPr>
                <w:rFonts w:ascii="宋体" w:cs="宋体"/>
                <w:color w:val="000000"/>
                <w:kern w:val="0"/>
              </w:rPr>
            </w:pPr>
            <w:r>
              <w:rPr>
                <w:rFonts w:hint="eastAsia" w:ascii="宋体" w:hAnsi="宋体" w:cs="宋体"/>
                <w:color w:val="000000"/>
                <w:kern w:val="0"/>
              </w:rPr>
              <w:t>《福建省实施〈中华人民共和国城市规划法〉办法》第五十九条第二款 擅自改变建筑物、构筑物和其他设施的使用性质的由城市规划行政主管部门责令其限期改正。逾期不改正的，依法强制改正，并处以该项目整体工程造价的</w:t>
            </w:r>
            <w:r>
              <w:rPr>
                <w:rFonts w:ascii="宋体" w:hAnsi="宋体" w:cs="宋体"/>
                <w:color w:val="000000"/>
                <w:kern w:val="0"/>
              </w:rPr>
              <w:t>10%</w:t>
            </w:r>
            <w:r>
              <w:rPr>
                <w:rFonts w:hint="eastAsia" w:ascii="宋体" w:hAnsi="宋体" w:cs="宋体"/>
                <w:color w:val="000000"/>
                <w:kern w:val="0"/>
              </w:rPr>
              <w:t>至</w:t>
            </w:r>
            <w:r>
              <w:rPr>
                <w:rFonts w:ascii="宋体" w:hAnsi="宋体" w:cs="宋体"/>
                <w:color w:val="000000"/>
                <w:kern w:val="0"/>
              </w:rPr>
              <w:t>20%</w:t>
            </w:r>
            <w:r>
              <w:rPr>
                <w:rFonts w:hint="eastAsia" w:ascii="宋体" w:hAnsi="宋体" w:cs="宋体"/>
                <w:color w:val="000000"/>
                <w:kern w:val="0"/>
              </w:rPr>
              <w:t>罚款。</w:t>
            </w:r>
          </w:p>
        </w:tc>
        <w:tc>
          <w:tcPr>
            <w:tcW w:w="896" w:type="dxa"/>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149" w:type="dxa"/>
            <w:vAlign w:val="center"/>
          </w:tcPr>
          <w:p>
            <w:pPr>
              <w:widowControl/>
              <w:spacing w:line="320" w:lineRule="exact"/>
              <w:jc w:val="left"/>
              <w:rPr>
                <w:rFonts w:ascii="宋体"/>
                <w:color w:val="000000"/>
                <w:kern w:val="0"/>
              </w:rPr>
            </w:pPr>
            <w:r>
              <w:rPr>
                <w:rFonts w:hint="eastAsia" w:ascii="宋体" w:hAnsi="宋体" w:cs="宋体"/>
                <w:color w:val="000000"/>
                <w:kern w:val="0"/>
              </w:rPr>
              <w:t>改变的规模、面积占总建筑面积的</w:t>
            </w:r>
            <w:r>
              <w:rPr>
                <w:rFonts w:ascii="宋体" w:hAnsi="宋体" w:cs="宋体"/>
                <w:color w:val="000000"/>
                <w:kern w:val="0"/>
              </w:rPr>
              <w:t>5%</w:t>
            </w:r>
            <w:r>
              <w:rPr>
                <w:rFonts w:hint="eastAsia" w:ascii="宋体" w:hAnsi="宋体" w:cs="宋体"/>
                <w:color w:val="000000"/>
                <w:kern w:val="0"/>
              </w:rPr>
              <w:t>以下，逾期不改正的</w:t>
            </w:r>
          </w:p>
        </w:tc>
        <w:tc>
          <w:tcPr>
            <w:tcW w:w="2178" w:type="dxa"/>
            <w:vAlign w:val="center"/>
          </w:tcPr>
          <w:p>
            <w:pPr>
              <w:widowControl/>
              <w:spacing w:line="320" w:lineRule="exact"/>
              <w:jc w:val="left"/>
              <w:rPr>
                <w:rFonts w:ascii="宋体"/>
                <w:color w:val="000000"/>
                <w:kern w:val="0"/>
              </w:rPr>
            </w:pPr>
            <w:r>
              <w:rPr>
                <w:rFonts w:hint="eastAsia" w:ascii="宋体" w:hAnsi="宋体" w:cs="宋体"/>
                <w:color w:val="000000"/>
                <w:kern w:val="0"/>
              </w:rPr>
              <w:t>依法强制改正，并处以该项目整体工程造价的</w:t>
            </w:r>
            <w:r>
              <w:rPr>
                <w:rFonts w:ascii="宋体" w:hAnsi="宋体" w:cs="宋体"/>
                <w:color w:val="000000"/>
                <w:kern w:val="0"/>
              </w:rPr>
              <w:t>10%</w:t>
            </w:r>
            <w:r>
              <w:rPr>
                <w:rFonts w:hint="eastAsia" w:ascii="宋体" w:hAnsi="宋体" w:cs="宋体"/>
                <w:color w:val="000000"/>
                <w:kern w:val="0"/>
              </w:rPr>
              <w:t>罚款</w:t>
            </w:r>
          </w:p>
        </w:tc>
        <w:tc>
          <w:tcPr>
            <w:tcW w:w="568" w:type="dxa"/>
            <w:vMerge w:val="restart"/>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149" w:type="dxa"/>
            <w:vAlign w:val="center"/>
          </w:tcPr>
          <w:p>
            <w:pPr>
              <w:widowControl/>
              <w:spacing w:line="320" w:lineRule="exact"/>
              <w:jc w:val="left"/>
              <w:rPr>
                <w:rFonts w:ascii="宋体"/>
                <w:color w:val="000000"/>
                <w:kern w:val="0"/>
              </w:rPr>
            </w:pPr>
            <w:r>
              <w:rPr>
                <w:rFonts w:hint="eastAsia" w:ascii="宋体" w:hAnsi="宋体" w:cs="宋体"/>
                <w:color w:val="000000"/>
                <w:kern w:val="0"/>
              </w:rPr>
              <w:t>改变的规模、面积占总建筑面积的5%以上10%以下，逾期不改正的</w:t>
            </w:r>
          </w:p>
        </w:tc>
        <w:tc>
          <w:tcPr>
            <w:tcW w:w="2178" w:type="dxa"/>
            <w:vAlign w:val="center"/>
          </w:tcPr>
          <w:p>
            <w:pPr>
              <w:widowControl/>
              <w:spacing w:line="320" w:lineRule="exact"/>
              <w:jc w:val="left"/>
              <w:rPr>
                <w:rFonts w:ascii="宋体"/>
                <w:color w:val="000000"/>
                <w:kern w:val="0"/>
              </w:rPr>
            </w:pPr>
            <w:r>
              <w:rPr>
                <w:rFonts w:hint="eastAsia" w:ascii="宋体" w:hAnsi="宋体" w:cs="宋体"/>
                <w:color w:val="000000"/>
                <w:kern w:val="0"/>
              </w:rPr>
              <w:t>依法强制改正，并处以该项目整体工程造价的</w:t>
            </w:r>
            <w:r>
              <w:rPr>
                <w:rFonts w:ascii="宋体" w:hAnsi="宋体" w:cs="宋体"/>
                <w:color w:val="000000"/>
                <w:kern w:val="0"/>
              </w:rPr>
              <w:t>10%</w:t>
            </w:r>
            <w:r>
              <w:rPr>
                <w:rFonts w:hint="eastAsia" w:ascii="宋体" w:hAnsi="宋体" w:cs="宋体"/>
                <w:color w:val="000000"/>
                <w:kern w:val="0"/>
              </w:rPr>
              <w:t>以上</w:t>
            </w:r>
            <w:r>
              <w:rPr>
                <w:rFonts w:ascii="宋体" w:hAnsi="宋体" w:cs="宋体"/>
                <w:color w:val="000000"/>
                <w:kern w:val="0"/>
              </w:rPr>
              <w:t>15%</w:t>
            </w:r>
            <w:r>
              <w:rPr>
                <w:rFonts w:hint="eastAsia" w:ascii="宋体" w:hAnsi="宋体" w:cs="宋体"/>
                <w:color w:val="000000"/>
                <w:kern w:val="0"/>
              </w:rPr>
              <w:t>以下罚款</w:t>
            </w: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 w:hRule="atLeast"/>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Merge w:val="restart"/>
            <w:vAlign w:val="center"/>
          </w:tcPr>
          <w:p>
            <w:pPr>
              <w:widowControl/>
              <w:spacing w:line="320" w:lineRule="exact"/>
              <w:jc w:val="center"/>
              <w:rPr>
                <w:rFonts w:ascii="宋体" w:cs="Times New Roman"/>
                <w:color w:val="auto"/>
                <w:kern w:val="0"/>
              </w:rPr>
            </w:pPr>
            <w:r>
              <w:rPr>
                <w:rFonts w:hint="eastAsia" w:ascii="宋体" w:hAnsi="宋体" w:cs="宋体"/>
                <w:color w:val="auto"/>
                <w:kern w:val="0"/>
              </w:rPr>
              <w:t>严重</w:t>
            </w:r>
          </w:p>
        </w:tc>
        <w:tc>
          <w:tcPr>
            <w:tcW w:w="3149" w:type="dxa"/>
            <w:vMerge w:val="restart"/>
            <w:vAlign w:val="center"/>
          </w:tcPr>
          <w:p>
            <w:pPr>
              <w:widowControl/>
              <w:spacing w:line="320" w:lineRule="exact"/>
              <w:rPr>
                <w:rFonts w:ascii="宋体" w:cs="Times New Roman"/>
                <w:color w:val="auto"/>
                <w:kern w:val="0"/>
              </w:rPr>
            </w:pPr>
            <w:r>
              <w:rPr>
                <w:rFonts w:hint="eastAsia" w:ascii="宋体" w:hAnsi="宋体" w:cs="宋体"/>
                <w:color w:val="auto"/>
                <w:kern w:val="0"/>
              </w:rPr>
              <w:t>改变的规模、面积占总建筑面积的</w:t>
            </w:r>
            <w:r>
              <w:rPr>
                <w:rFonts w:ascii="宋体" w:hAnsi="宋体" w:cs="宋体"/>
                <w:color w:val="auto"/>
                <w:kern w:val="0"/>
              </w:rPr>
              <w:t>10%</w:t>
            </w:r>
            <w:r>
              <w:rPr>
                <w:rFonts w:hint="eastAsia" w:ascii="宋体" w:hAnsi="宋体" w:cs="宋体"/>
                <w:color w:val="auto"/>
                <w:kern w:val="0"/>
              </w:rPr>
              <w:t>以上，逾期不改正的</w:t>
            </w:r>
          </w:p>
        </w:tc>
        <w:tc>
          <w:tcPr>
            <w:tcW w:w="2178" w:type="dxa"/>
            <w:vMerge w:val="restart"/>
            <w:vAlign w:val="center"/>
          </w:tcPr>
          <w:p>
            <w:pPr>
              <w:widowControl/>
              <w:spacing w:line="320" w:lineRule="exact"/>
              <w:rPr>
                <w:rFonts w:ascii="宋体" w:cs="Times New Roman"/>
                <w:color w:val="auto"/>
                <w:kern w:val="0"/>
              </w:rPr>
            </w:pPr>
            <w:r>
              <w:rPr>
                <w:rFonts w:hint="eastAsia" w:ascii="宋体" w:hAnsi="宋体" w:cs="宋体"/>
                <w:color w:val="auto"/>
                <w:kern w:val="0"/>
              </w:rPr>
              <w:t>依法强制改正，并处以该项目整体工程造价的</w:t>
            </w:r>
            <w:r>
              <w:rPr>
                <w:rFonts w:ascii="宋体" w:hAnsi="宋体" w:cs="宋体"/>
                <w:color w:val="auto"/>
                <w:kern w:val="0"/>
              </w:rPr>
              <w:t>15%</w:t>
            </w:r>
            <w:r>
              <w:rPr>
                <w:rFonts w:hint="eastAsia" w:ascii="宋体" w:hAnsi="宋体" w:cs="宋体"/>
                <w:color w:val="auto"/>
                <w:kern w:val="0"/>
              </w:rPr>
              <w:t>以上</w:t>
            </w:r>
            <w:r>
              <w:rPr>
                <w:rFonts w:ascii="宋体" w:hAnsi="宋体" w:cs="宋体"/>
                <w:color w:val="auto"/>
                <w:kern w:val="0"/>
              </w:rPr>
              <w:t>20%</w:t>
            </w:r>
            <w:r>
              <w:rPr>
                <w:rFonts w:hint="eastAsia" w:ascii="宋体" w:hAnsi="宋体" w:cs="宋体"/>
                <w:color w:val="auto"/>
                <w:kern w:val="0"/>
              </w:rPr>
              <w:t>以下</w:t>
            </w:r>
            <w:r>
              <w:rPr>
                <w:rFonts w:hint="eastAsia" w:ascii="宋体" w:hAnsi="宋体" w:cs="宋体"/>
                <w:color w:val="auto"/>
                <w:kern w:val="0"/>
              </w:rPr>
              <w:t>罚款</w:t>
            </w: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Merge w:val="continue"/>
            <w:vAlign w:val="center"/>
          </w:tcPr>
          <w:p>
            <w:pPr>
              <w:widowControl/>
              <w:spacing w:line="320" w:lineRule="exact"/>
              <w:jc w:val="left"/>
              <w:rPr>
                <w:rFonts w:ascii="宋体"/>
                <w:color w:val="auto"/>
                <w:kern w:val="0"/>
              </w:rPr>
            </w:pPr>
          </w:p>
        </w:tc>
        <w:tc>
          <w:tcPr>
            <w:tcW w:w="3149" w:type="dxa"/>
            <w:vMerge w:val="continue"/>
            <w:vAlign w:val="center"/>
          </w:tcPr>
          <w:p>
            <w:pPr>
              <w:widowControl/>
              <w:spacing w:line="320" w:lineRule="exact"/>
              <w:jc w:val="left"/>
              <w:rPr>
                <w:rFonts w:ascii="宋体"/>
                <w:color w:val="auto"/>
                <w:kern w:val="0"/>
              </w:rPr>
            </w:pPr>
          </w:p>
        </w:tc>
        <w:tc>
          <w:tcPr>
            <w:tcW w:w="2178" w:type="dxa"/>
            <w:vMerge w:val="continue"/>
            <w:vAlign w:val="center"/>
          </w:tcPr>
          <w:p>
            <w:pPr>
              <w:widowControl/>
              <w:spacing w:line="320" w:lineRule="exact"/>
              <w:jc w:val="left"/>
              <w:rPr>
                <w:rFonts w:ascii="宋体"/>
                <w:color w:val="auto"/>
                <w:kern w:val="0"/>
              </w:rPr>
            </w:pPr>
          </w:p>
        </w:tc>
        <w:tc>
          <w:tcPr>
            <w:tcW w:w="568" w:type="dxa"/>
            <w:vMerge w:val="continue"/>
            <w:vAlign w:val="center"/>
          </w:tcPr>
          <w:p>
            <w:pPr>
              <w:widowControl/>
              <w:spacing w:line="320" w:lineRule="exact"/>
              <w:jc w:val="left"/>
              <w:rPr>
                <w:rFonts w:asci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restart"/>
            <w:noWrap/>
            <w:vAlign w:val="center"/>
          </w:tcPr>
          <w:p>
            <w:pPr>
              <w:spacing w:line="320" w:lineRule="exact"/>
              <w:jc w:val="center"/>
              <w:rPr>
                <w:rFonts w:ascii="宋体" w:hAnsi="宋体" w:cs="宋体"/>
                <w:color w:val="000000"/>
                <w:kern w:val="0"/>
              </w:rPr>
            </w:pPr>
            <w:r>
              <w:rPr>
                <w:rFonts w:ascii="宋体" w:hAnsi="宋体" w:cs="宋体"/>
                <w:color w:val="000000"/>
                <w:kern w:val="0"/>
              </w:rPr>
              <w:t>4</w:t>
            </w:r>
          </w:p>
        </w:tc>
        <w:tc>
          <w:tcPr>
            <w:tcW w:w="848"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末经验线擅自开工</w:t>
            </w:r>
          </w:p>
        </w:tc>
        <w:tc>
          <w:tcPr>
            <w:tcW w:w="3118"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　</w:t>
            </w:r>
          </w:p>
        </w:tc>
        <w:tc>
          <w:tcPr>
            <w:tcW w:w="3205" w:type="dxa"/>
            <w:vMerge w:val="restart"/>
            <w:vAlign w:val="center"/>
          </w:tcPr>
          <w:p>
            <w:pPr>
              <w:spacing w:line="320" w:lineRule="exact"/>
              <w:jc w:val="left"/>
              <w:rPr>
                <w:rFonts w:ascii="宋体" w:hAnsi="宋体" w:cs="宋体"/>
                <w:color w:val="000000"/>
                <w:kern w:val="0"/>
              </w:rPr>
            </w:pPr>
            <w:r>
              <w:rPr>
                <w:rFonts w:hint="eastAsia" w:ascii="宋体" w:hAnsi="宋体" w:cs="宋体"/>
                <w:color w:val="000000"/>
                <w:kern w:val="0"/>
              </w:rPr>
              <w:t>《福建省实施〈中华人民共和国城市规划法〉办法》第五十九条第三款  未经城市规划行政主管部门验线核样，擅自施工的建设项目，由城市规划行政主管部门处以该项目整体工程造价的</w:t>
            </w:r>
            <w:r>
              <w:rPr>
                <w:rFonts w:ascii="宋体" w:hAnsi="宋体" w:cs="宋体"/>
                <w:color w:val="000000"/>
                <w:kern w:val="0"/>
              </w:rPr>
              <w:t>3%</w:t>
            </w:r>
            <w:r>
              <w:rPr>
                <w:rFonts w:hint="eastAsia" w:ascii="宋体" w:hAnsi="宋体" w:cs="宋体"/>
                <w:color w:val="000000"/>
                <w:kern w:val="0"/>
              </w:rPr>
              <w:t>至</w:t>
            </w:r>
            <w:r>
              <w:rPr>
                <w:rFonts w:ascii="宋体" w:hAnsi="宋体" w:cs="宋体"/>
                <w:color w:val="000000"/>
                <w:kern w:val="0"/>
              </w:rPr>
              <w:t>5%</w:t>
            </w:r>
            <w:r>
              <w:rPr>
                <w:rFonts w:hint="eastAsia" w:ascii="宋体" w:hAnsi="宋体" w:cs="宋体"/>
                <w:color w:val="000000"/>
                <w:kern w:val="0"/>
              </w:rPr>
              <w:t>罚款。</w:t>
            </w:r>
          </w:p>
        </w:tc>
        <w:tc>
          <w:tcPr>
            <w:tcW w:w="896" w:type="dxa"/>
            <w:vAlign w:val="center"/>
          </w:tcPr>
          <w:p>
            <w:pPr>
              <w:widowControl/>
              <w:spacing w:line="320" w:lineRule="exact"/>
              <w:jc w:val="center"/>
              <w:rPr>
                <w:rFonts w:ascii="宋体" w:hAnsi="宋体" w:cs="宋体"/>
                <w:color w:val="auto"/>
                <w:kern w:val="0"/>
              </w:rPr>
            </w:pPr>
            <w:r>
              <w:rPr>
                <w:rFonts w:hint="eastAsia" w:ascii="宋体" w:hAnsi="宋体" w:cs="宋体"/>
                <w:color w:val="auto"/>
                <w:kern w:val="0"/>
              </w:rPr>
              <w:t>轻微</w:t>
            </w:r>
          </w:p>
        </w:tc>
        <w:tc>
          <w:tcPr>
            <w:tcW w:w="3149"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有放样，但未经规划部门验线的</w:t>
            </w:r>
          </w:p>
        </w:tc>
        <w:tc>
          <w:tcPr>
            <w:tcW w:w="2178" w:type="dxa"/>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按该项目整体工程造价的</w:t>
            </w:r>
            <w:r>
              <w:rPr>
                <w:rFonts w:ascii="宋体" w:hAnsi="宋体" w:cs="宋体"/>
                <w:color w:val="auto"/>
                <w:kern w:val="0"/>
              </w:rPr>
              <w:t>3%罚款</w:t>
            </w:r>
          </w:p>
        </w:tc>
        <w:tc>
          <w:tcPr>
            <w:tcW w:w="568" w:type="dxa"/>
            <w:vMerge w:val="restart"/>
            <w:vAlign w:val="center"/>
          </w:tcPr>
          <w:p>
            <w:pPr>
              <w:spacing w:line="320" w:lineRule="exact"/>
              <w:jc w:val="left"/>
              <w:rPr>
                <w:rFonts w:ascii="宋体" w:hAnsi="宋体" w:cs="宋体"/>
                <w:b/>
                <w:bCs/>
                <w:color w:val="000000"/>
                <w:kern w:val="0"/>
              </w:rPr>
            </w:pPr>
            <w:r>
              <w:rPr>
                <w:rFonts w:hint="eastAsia" w:ascii="宋体" w:hAnsi="宋体" w:cs="宋体"/>
                <w:b/>
                <w:bCs/>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continue"/>
            <w:noWrap/>
            <w:vAlign w:val="center"/>
          </w:tcPr>
          <w:p>
            <w:pPr>
              <w:widowControl/>
              <w:spacing w:line="320" w:lineRule="exact"/>
              <w:jc w:val="center"/>
              <w:rPr>
                <w:rFonts w:ascii="宋体"/>
                <w:color w:val="000000"/>
                <w:kern w:val="0"/>
              </w:rPr>
            </w:pPr>
          </w:p>
        </w:tc>
        <w:tc>
          <w:tcPr>
            <w:tcW w:w="848" w:type="dxa"/>
            <w:vMerge w:val="continue"/>
            <w:vAlign w:val="center"/>
          </w:tcPr>
          <w:p>
            <w:pPr>
              <w:widowControl/>
              <w:spacing w:line="320" w:lineRule="exact"/>
              <w:jc w:val="left"/>
              <w:rPr>
                <w:rFonts w:ascii="宋体"/>
                <w:color w:val="000000"/>
                <w:kern w:val="0"/>
              </w:rPr>
            </w:pPr>
          </w:p>
        </w:tc>
        <w:tc>
          <w:tcPr>
            <w:tcW w:w="3118" w:type="dxa"/>
            <w:vMerge w:val="continue"/>
            <w:vAlign w:val="center"/>
          </w:tcPr>
          <w:p>
            <w:pPr>
              <w:widowControl/>
              <w:spacing w:line="320" w:lineRule="exact"/>
              <w:jc w:val="left"/>
              <w:rPr>
                <w:rFonts w:ascii="宋体"/>
                <w:color w:val="000000"/>
                <w:kern w:val="0"/>
              </w:rPr>
            </w:pPr>
          </w:p>
        </w:tc>
        <w:tc>
          <w:tcPr>
            <w:tcW w:w="3205" w:type="dxa"/>
            <w:vMerge w:val="continue"/>
            <w:vAlign w:val="center"/>
          </w:tcPr>
          <w:p>
            <w:pPr>
              <w:widowControl/>
              <w:spacing w:line="320" w:lineRule="exact"/>
              <w:jc w:val="left"/>
              <w:rPr>
                <w:rFonts w:ascii="宋体"/>
                <w:color w:val="000000"/>
                <w:kern w:val="0"/>
              </w:rPr>
            </w:pPr>
          </w:p>
        </w:tc>
        <w:tc>
          <w:tcPr>
            <w:tcW w:w="896" w:type="dxa"/>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149" w:type="dxa"/>
            <w:vAlign w:val="center"/>
          </w:tcPr>
          <w:p>
            <w:pPr>
              <w:widowControl/>
              <w:spacing w:line="320" w:lineRule="exact"/>
              <w:jc w:val="left"/>
              <w:rPr>
                <w:rFonts w:ascii="宋体"/>
                <w:color w:val="auto"/>
                <w:kern w:val="0"/>
              </w:rPr>
            </w:pPr>
            <w:r>
              <w:rPr>
                <w:rFonts w:hint="eastAsia" w:ascii="宋体" w:hAnsi="宋体" w:cs="宋体"/>
                <w:color w:val="auto"/>
                <w:kern w:val="0"/>
              </w:rPr>
              <w:t>未经放样擅自开工，未造成位移的</w:t>
            </w:r>
          </w:p>
        </w:tc>
        <w:tc>
          <w:tcPr>
            <w:tcW w:w="2178" w:type="dxa"/>
            <w:vAlign w:val="center"/>
          </w:tcPr>
          <w:p>
            <w:pPr>
              <w:widowControl/>
              <w:spacing w:line="320" w:lineRule="exact"/>
              <w:jc w:val="left"/>
              <w:rPr>
                <w:rFonts w:ascii="宋体"/>
                <w:color w:val="auto"/>
                <w:kern w:val="0"/>
              </w:rPr>
            </w:pPr>
            <w:r>
              <w:rPr>
                <w:rFonts w:hint="eastAsia" w:ascii="宋体" w:hAnsi="宋体" w:cs="宋体"/>
                <w:color w:val="auto"/>
                <w:kern w:val="0"/>
              </w:rPr>
              <w:t>按该项目整体工程造价的</w:t>
            </w:r>
            <w:r>
              <w:rPr>
                <w:rFonts w:ascii="宋体" w:hAnsi="宋体" w:cs="宋体"/>
                <w:color w:val="auto"/>
                <w:kern w:val="0"/>
              </w:rPr>
              <w:t>3</w:t>
            </w:r>
            <w:r>
              <w:rPr>
                <w:rFonts w:ascii="宋体" w:hAnsi="宋体" w:cs="宋体"/>
                <w:color w:val="auto"/>
                <w:kern w:val="0"/>
              </w:rPr>
              <w:t>%以上</w:t>
            </w:r>
            <w:r>
              <w:rPr>
                <w:rFonts w:ascii="宋体" w:hAnsi="宋体" w:cs="宋体"/>
                <w:color w:val="auto"/>
                <w:kern w:val="0"/>
              </w:rPr>
              <w:t>4%</w:t>
            </w:r>
            <w:r>
              <w:rPr>
                <w:rFonts w:hint="eastAsia" w:ascii="宋体" w:hAnsi="宋体" w:cs="宋体"/>
                <w:color w:val="auto"/>
                <w:kern w:val="0"/>
              </w:rPr>
              <w:t>以下</w:t>
            </w:r>
            <w:r>
              <w:rPr>
                <w:rFonts w:hint="eastAsia" w:ascii="宋体" w:hAnsi="宋体" w:cs="宋体"/>
                <w:color w:val="auto"/>
                <w:kern w:val="0"/>
              </w:rPr>
              <w:t>罚款</w:t>
            </w:r>
          </w:p>
        </w:tc>
        <w:tc>
          <w:tcPr>
            <w:tcW w:w="568" w:type="dxa"/>
            <w:vMerge w:val="continue"/>
            <w:vAlign w:val="center"/>
          </w:tcPr>
          <w:p>
            <w:pPr>
              <w:widowControl/>
              <w:spacing w:line="320" w:lineRule="exact"/>
              <w:jc w:val="left"/>
              <w:rPr>
                <w:rFonts w:ascii="宋体"/>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80" w:type="dxa"/>
            <w:vMerge w:val="continue"/>
            <w:tcBorders>
              <w:bottom w:val="single" w:color="auto" w:sz="4" w:space="0"/>
            </w:tcBorders>
            <w:vAlign w:val="center"/>
          </w:tcPr>
          <w:p>
            <w:pPr>
              <w:widowControl/>
              <w:spacing w:line="320" w:lineRule="exact"/>
              <w:jc w:val="left"/>
              <w:rPr>
                <w:rFonts w:ascii="宋体"/>
                <w:color w:val="000000"/>
                <w:kern w:val="0"/>
              </w:rPr>
            </w:pPr>
          </w:p>
        </w:tc>
        <w:tc>
          <w:tcPr>
            <w:tcW w:w="848" w:type="dxa"/>
            <w:vMerge w:val="continue"/>
            <w:tcBorders>
              <w:bottom w:val="single" w:color="auto" w:sz="4" w:space="0"/>
            </w:tcBorders>
            <w:vAlign w:val="center"/>
          </w:tcPr>
          <w:p>
            <w:pPr>
              <w:widowControl/>
              <w:spacing w:line="320" w:lineRule="exact"/>
              <w:jc w:val="left"/>
              <w:rPr>
                <w:rFonts w:ascii="宋体"/>
                <w:color w:val="000000"/>
                <w:kern w:val="0"/>
              </w:rPr>
            </w:pPr>
          </w:p>
        </w:tc>
        <w:tc>
          <w:tcPr>
            <w:tcW w:w="3118" w:type="dxa"/>
            <w:vMerge w:val="continue"/>
            <w:tcBorders>
              <w:bottom w:val="single" w:color="auto" w:sz="4" w:space="0"/>
            </w:tcBorders>
            <w:vAlign w:val="center"/>
          </w:tcPr>
          <w:p>
            <w:pPr>
              <w:widowControl/>
              <w:spacing w:line="320" w:lineRule="exact"/>
              <w:jc w:val="left"/>
              <w:rPr>
                <w:rFonts w:ascii="宋体"/>
                <w:color w:val="000000"/>
                <w:kern w:val="0"/>
              </w:rPr>
            </w:pPr>
          </w:p>
        </w:tc>
        <w:tc>
          <w:tcPr>
            <w:tcW w:w="3205" w:type="dxa"/>
            <w:vMerge w:val="continue"/>
            <w:tcBorders>
              <w:bottom w:val="single" w:color="auto" w:sz="4" w:space="0"/>
            </w:tcBorders>
            <w:vAlign w:val="center"/>
          </w:tcPr>
          <w:p>
            <w:pPr>
              <w:widowControl/>
              <w:spacing w:line="320" w:lineRule="exact"/>
              <w:jc w:val="left"/>
              <w:rPr>
                <w:rFonts w:ascii="宋体"/>
                <w:color w:val="000000"/>
                <w:kern w:val="0"/>
              </w:rPr>
            </w:pPr>
          </w:p>
        </w:tc>
        <w:tc>
          <w:tcPr>
            <w:tcW w:w="896" w:type="dxa"/>
            <w:tcBorders>
              <w:bottom w:val="single" w:color="auto" w:sz="4" w:space="0"/>
            </w:tcBorders>
            <w:vAlign w:val="center"/>
          </w:tcPr>
          <w:p>
            <w:pPr>
              <w:widowControl/>
              <w:spacing w:line="320" w:lineRule="exact"/>
              <w:jc w:val="center"/>
              <w:rPr>
                <w:rFonts w:ascii="宋体" w:cs="Times New Roman"/>
                <w:color w:val="auto"/>
                <w:kern w:val="0"/>
              </w:rPr>
            </w:pPr>
            <w:r>
              <w:rPr>
                <w:rFonts w:hint="eastAsia" w:ascii="宋体" w:hAnsi="宋体" w:cs="宋体"/>
                <w:color w:val="auto"/>
                <w:kern w:val="0"/>
              </w:rPr>
              <w:t>严重</w:t>
            </w:r>
          </w:p>
        </w:tc>
        <w:tc>
          <w:tcPr>
            <w:tcW w:w="3149" w:type="dxa"/>
            <w:tcBorders>
              <w:bottom w:val="single" w:color="auto" w:sz="4" w:space="0"/>
            </w:tcBorders>
            <w:vAlign w:val="center"/>
          </w:tcPr>
          <w:p>
            <w:pPr>
              <w:widowControl/>
              <w:spacing w:line="320" w:lineRule="exact"/>
              <w:jc w:val="left"/>
              <w:rPr>
                <w:rFonts w:ascii="宋体" w:hAnsi="宋体" w:cs="宋体"/>
                <w:color w:val="auto"/>
                <w:kern w:val="0"/>
              </w:rPr>
            </w:pPr>
            <w:r>
              <w:rPr>
                <w:rFonts w:hint="eastAsia" w:ascii="宋体" w:hAnsi="宋体" w:cs="宋体"/>
                <w:color w:val="auto"/>
                <w:kern w:val="0"/>
              </w:rPr>
              <w:t>未经放样擅自开工，造成建设工程位置移动的。</w:t>
            </w:r>
          </w:p>
          <w:p>
            <w:pPr>
              <w:widowControl/>
              <w:spacing w:line="320" w:lineRule="exact"/>
              <w:jc w:val="left"/>
              <w:rPr>
                <w:rFonts w:ascii="宋体" w:cs="Times New Roman"/>
                <w:color w:val="auto"/>
                <w:kern w:val="0"/>
              </w:rPr>
            </w:pPr>
          </w:p>
        </w:tc>
        <w:tc>
          <w:tcPr>
            <w:tcW w:w="2178" w:type="dxa"/>
            <w:tcBorders>
              <w:bottom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按该项目整体工程造价的</w:t>
            </w:r>
            <w:r>
              <w:rPr>
                <w:rFonts w:ascii="宋体" w:hAnsi="宋体" w:cs="宋体"/>
                <w:color w:val="auto"/>
                <w:kern w:val="0"/>
              </w:rPr>
              <w:t>4</w:t>
            </w:r>
            <w:r>
              <w:rPr>
                <w:rFonts w:ascii="宋体" w:hAnsi="宋体" w:cs="宋体"/>
                <w:color w:val="auto"/>
                <w:kern w:val="0"/>
              </w:rPr>
              <w:t>%以上</w:t>
            </w:r>
            <w:r>
              <w:rPr>
                <w:rFonts w:ascii="宋体" w:hAnsi="宋体" w:cs="宋体"/>
                <w:color w:val="auto"/>
                <w:kern w:val="0"/>
              </w:rPr>
              <w:t>5%</w:t>
            </w:r>
            <w:r>
              <w:rPr>
                <w:rFonts w:hint="eastAsia" w:ascii="宋体" w:hAnsi="宋体" w:cs="宋体"/>
                <w:color w:val="auto"/>
                <w:kern w:val="0"/>
              </w:rPr>
              <w:t>以下</w:t>
            </w:r>
            <w:r>
              <w:rPr>
                <w:rFonts w:hint="eastAsia" w:ascii="宋体" w:hAnsi="宋体" w:cs="宋体"/>
                <w:color w:val="auto"/>
                <w:kern w:val="0"/>
              </w:rPr>
              <w:t>罚款</w:t>
            </w:r>
          </w:p>
        </w:tc>
        <w:tc>
          <w:tcPr>
            <w:tcW w:w="568" w:type="dxa"/>
            <w:vMerge w:val="continue"/>
            <w:tcBorders>
              <w:bottom w:val="single" w:color="auto" w:sz="4" w:space="0"/>
            </w:tcBorders>
            <w:vAlign w:val="center"/>
          </w:tcPr>
          <w:p>
            <w:pPr>
              <w:widowControl/>
              <w:spacing w:line="320" w:lineRule="exact"/>
              <w:jc w:val="left"/>
              <w:rPr>
                <w:rFonts w:ascii="宋体"/>
                <w:b/>
                <w:bCs/>
                <w:color w:val="000000"/>
                <w:kern w:val="0"/>
              </w:rPr>
            </w:pPr>
          </w:p>
        </w:tc>
      </w:tr>
    </w:tbl>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uto"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8"/>
    <w:multiLevelType w:val="singleLevel"/>
    <w:tmpl w:val="0FFFFF88"/>
    <w:lvl w:ilvl="0" w:tentative="0">
      <w:start w:val="1"/>
      <w:numFmt w:val="decimal"/>
      <w:pStyle w:val="37"/>
      <w:lvlText w:val="%1."/>
      <w:lvlJc w:val="left"/>
      <w:pPr>
        <w:tabs>
          <w:tab w:val="left" w:pos="360"/>
        </w:tabs>
        <w:ind w:left="360" w:hanging="360"/>
      </w:pPr>
    </w:lvl>
  </w:abstractNum>
  <w:abstractNum w:abstractNumId="1">
    <w:nsid w:val="0FFFFF89"/>
    <w:multiLevelType w:val="singleLevel"/>
    <w:tmpl w:val="0FFFFF89"/>
    <w:lvl w:ilvl="0" w:tentative="0">
      <w:start w:val="1"/>
      <w:numFmt w:val="bullet"/>
      <w:pStyle w:val="2"/>
      <w:lvlText w:val=""/>
      <w:lvlJc w:val="left"/>
      <w:pPr>
        <w:tabs>
          <w:tab w:val="left" w:pos="360"/>
        </w:tabs>
        <w:ind w:left="360" w:hanging="360"/>
      </w:pPr>
      <w:rPr>
        <w:rFonts w:hint="default"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304CA"/>
    <w:rsid w:val="00032369"/>
    <w:rsid w:val="00042D37"/>
    <w:rsid w:val="00047C1B"/>
    <w:rsid w:val="00076B37"/>
    <w:rsid w:val="000847B1"/>
    <w:rsid w:val="00090816"/>
    <w:rsid w:val="00096A08"/>
    <w:rsid w:val="000A2CCE"/>
    <w:rsid w:val="000A3735"/>
    <w:rsid w:val="000F11F8"/>
    <w:rsid w:val="00102FAD"/>
    <w:rsid w:val="00134C08"/>
    <w:rsid w:val="00142942"/>
    <w:rsid w:val="0017510C"/>
    <w:rsid w:val="00177968"/>
    <w:rsid w:val="00192CDD"/>
    <w:rsid w:val="001C1CA2"/>
    <w:rsid w:val="001C5923"/>
    <w:rsid w:val="001D16DE"/>
    <w:rsid w:val="001D6D36"/>
    <w:rsid w:val="001E0C7E"/>
    <w:rsid w:val="001E45D9"/>
    <w:rsid w:val="001F7C31"/>
    <w:rsid w:val="00200C53"/>
    <w:rsid w:val="002265EE"/>
    <w:rsid w:val="00264206"/>
    <w:rsid w:val="0027784B"/>
    <w:rsid w:val="002D1784"/>
    <w:rsid w:val="002D3CFE"/>
    <w:rsid w:val="002D58DF"/>
    <w:rsid w:val="002D6EA8"/>
    <w:rsid w:val="002E0DDC"/>
    <w:rsid w:val="002F22FF"/>
    <w:rsid w:val="002F52BC"/>
    <w:rsid w:val="00312081"/>
    <w:rsid w:val="00335AD4"/>
    <w:rsid w:val="003930E4"/>
    <w:rsid w:val="003A1CD1"/>
    <w:rsid w:val="003B1405"/>
    <w:rsid w:val="003B2408"/>
    <w:rsid w:val="003B378F"/>
    <w:rsid w:val="003D73DE"/>
    <w:rsid w:val="003E2268"/>
    <w:rsid w:val="003F283F"/>
    <w:rsid w:val="003F4A4A"/>
    <w:rsid w:val="00402F02"/>
    <w:rsid w:val="004135D6"/>
    <w:rsid w:val="0042319B"/>
    <w:rsid w:val="0044398A"/>
    <w:rsid w:val="00462C00"/>
    <w:rsid w:val="00473D26"/>
    <w:rsid w:val="004A4C89"/>
    <w:rsid w:val="004B311B"/>
    <w:rsid w:val="004E6360"/>
    <w:rsid w:val="004F26CF"/>
    <w:rsid w:val="004F53A5"/>
    <w:rsid w:val="00510247"/>
    <w:rsid w:val="00525060"/>
    <w:rsid w:val="005254D6"/>
    <w:rsid w:val="00536077"/>
    <w:rsid w:val="00545624"/>
    <w:rsid w:val="00545733"/>
    <w:rsid w:val="0055435D"/>
    <w:rsid w:val="00556C12"/>
    <w:rsid w:val="00586E84"/>
    <w:rsid w:val="00592B15"/>
    <w:rsid w:val="0059797C"/>
    <w:rsid w:val="005A5300"/>
    <w:rsid w:val="005B454A"/>
    <w:rsid w:val="005D1DFB"/>
    <w:rsid w:val="005D4F1E"/>
    <w:rsid w:val="005E49B7"/>
    <w:rsid w:val="006149A3"/>
    <w:rsid w:val="006204E9"/>
    <w:rsid w:val="006207A4"/>
    <w:rsid w:val="006209EF"/>
    <w:rsid w:val="0062790C"/>
    <w:rsid w:val="00633344"/>
    <w:rsid w:val="00663131"/>
    <w:rsid w:val="00663188"/>
    <w:rsid w:val="0067787C"/>
    <w:rsid w:val="006913CF"/>
    <w:rsid w:val="00692A5C"/>
    <w:rsid w:val="00697966"/>
    <w:rsid w:val="006A7621"/>
    <w:rsid w:val="006B1053"/>
    <w:rsid w:val="006B200A"/>
    <w:rsid w:val="006B420D"/>
    <w:rsid w:val="006B77B6"/>
    <w:rsid w:val="006C002C"/>
    <w:rsid w:val="006C2578"/>
    <w:rsid w:val="006D312F"/>
    <w:rsid w:val="00715E5E"/>
    <w:rsid w:val="00726D62"/>
    <w:rsid w:val="0075457E"/>
    <w:rsid w:val="00755BE1"/>
    <w:rsid w:val="00762B98"/>
    <w:rsid w:val="0077648D"/>
    <w:rsid w:val="0079312E"/>
    <w:rsid w:val="00793851"/>
    <w:rsid w:val="007A6CE2"/>
    <w:rsid w:val="007B50B6"/>
    <w:rsid w:val="007C7FA8"/>
    <w:rsid w:val="007F5C8B"/>
    <w:rsid w:val="00817E3D"/>
    <w:rsid w:val="00851CE0"/>
    <w:rsid w:val="008565AB"/>
    <w:rsid w:val="00882004"/>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86FDE"/>
    <w:rsid w:val="009C1F8E"/>
    <w:rsid w:val="009C3085"/>
    <w:rsid w:val="009E1C6B"/>
    <w:rsid w:val="009E4164"/>
    <w:rsid w:val="00A420F9"/>
    <w:rsid w:val="00A63E9E"/>
    <w:rsid w:val="00A64E9B"/>
    <w:rsid w:val="00A770C5"/>
    <w:rsid w:val="00A97636"/>
    <w:rsid w:val="00AB2B3C"/>
    <w:rsid w:val="00AC50A2"/>
    <w:rsid w:val="00AE7D0B"/>
    <w:rsid w:val="00AF088D"/>
    <w:rsid w:val="00B1108E"/>
    <w:rsid w:val="00B671E7"/>
    <w:rsid w:val="00B7376B"/>
    <w:rsid w:val="00B81680"/>
    <w:rsid w:val="00BA3700"/>
    <w:rsid w:val="00BB209D"/>
    <w:rsid w:val="00BB2A34"/>
    <w:rsid w:val="00BC5835"/>
    <w:rsid w:val="00BD02C5"/>
    <w:rsid w:val="00BD0749"/>
    <w:rsid w:val="00BF0EB6"/>
    <w:rsid w:val="00C278A2"/>
    <w:rsid w:val="00C30327"/>
    <w:rsid w:val="00C34B68"/>
    <w:rsid w:val="00C505FE"/>
    <w:rsid w:val="00C70AE3"/>
    <w:rsid w:val="00C8079B"/>
    <w:rsid w:val="00C96E19"/>
    <w:rsid w:val="00CC406B"/>
    <w:rsid w:val="00CD017B"/>
    <w:rsid w:val="00CE2E17"/>
    <w:rsid w:val="00D0088D"/>
    <w:rsid w:val="00D056FE"/>
    <w:rsid w:val="00D1355F"/>
    <w:rsid w:val="00D2257A"/>
    <w:rsid w:val="00D5526C"/>
    <w:rsid w:val="00D5553A"/>
    <w:rsid w:val="00D831F4"/>
    <w:rsid w:val="00DD38C0"/>
    <w:rsid w:val="00DD6382"/>
    <w:rsid w:val="00DE3107"/>
    <w:rsid w:val="00E03C22"/>
    <w:rsid w:val="00E06103"/>
    <w:rsid w:val="00E13D4C"/>
    <w:rsid w:val="00E238EB"/>
    <w:rsid w:val="00E4375A"/>
    <w:rsid w:val="00E73E97"/>
    <w:rsid w:val="00E740D2"/>
    <w:rsid w:val="00E77D57"/>
    <w:rsid w:val="00E85C30"/>
    <w:rsid w:val="00EB548F"/>
    <w:rsid w:val="00EF2405"/>
    <w:rsid w:val="00F10D4A"/>
    <w:rsid w:val="00F1198C"/>
    <w:rsid w:val="00F158D7"/>
    <w:rsid w:val="00F414FB"/>
    <w:rsid w:val="00F8123A"/>
    <w:rsid w:val="00F87A79"/>
    <w:rsid w:val="00FB4389"/>
    <w:rsid w:val="00FE11C8"/>
    <w:rsid w:val="00FE3A89"/>
    <w:rsid w:val="00FF6AA8"/>
    <w:rsid w:val="3FFDEE93"/>
    <w:rsid w:val="6FA81A38"/>
    <w:rsid w:val="7FFF7302"/>
    <w:rsid w:val="9E9D0CBB"/>
    <w:rsid w:val="DC7ED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numPr>
        <w:ilvl w:val="0"/>
        <w:numId w:val="1"/>
      </w:numPr>
      <w:tabs>
        <w:tab w:val="clear" w:pos="360"/>
      </w:tabs>
      <w:spacing w:before="340" w:after="330" w:line="578" w:lineRule="auto"/>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eastAsia="宋体" w:cs="Times New Roman"/>
      <w:b/>
      <w:bCs/>
      <w:kern w:val="44"/>
      <w:sz w:val="24"/>
      <w:szCs w:val="2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numPr>
        <w:ilvl w:val="0"/>
        <w:numId w:val="2"/>
      </w:numPr>
      <w:pBdr>
        <w:top w:val="single" w:color="auto" w:sz="4" w:space="0"/>
        <w:left w:val="single" w:color="auto" w:sz="4" w:space="0"/>
        <w:bottom w:val="single" w:color="auto" w:sz="4" w:space="0"/>
        <w:right w:val="single" w:color="auto" w:sz="4" w:space="0"/>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1339</Words>
  <Characters>489</Characters>
  <Lines>4</Lines>
  <Paragraphs>3</Paragraphs>
  <TotalTime>1405</TotalTime>
  <ScaleCrop>false</ScaleCrop>
  <LinksUpToDate>false</LinksUpToDate>
  <CharactersWithSpaces>1825</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2022-10-13T09:28:00Z</dcterms:created>
  <dc:creator>陈玉珊</dc:creator>
  <cp:lastModifiedBy>xmadmini</cp:lastModifiedBy>
  <cp:lastPrinted>2018-01-12T09:09:00Z</cp:lastPrinted>
  <dcterms:modified xsi:type="dcterms:W3CDTF">2024-09-30T15:30:02Z</dcterms:modified>
  <dc:title>厦门市城市管理行政执法部门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