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方正小标宋简体" w:asciiTheme="minorEastAsia" w:hAnsiTheme="minorEastAsia" w:eastAsiaTheme="minorEastAsia"/>
          <w:b/>
          <w:color w:val="000000"/>
          <w:sz w:val="36"/>
          <w:szCs w:val="36"/>
        </w:rPr>
      </w:pPr>
      <w:r>
        <w:rPr>
          <w:rFonts w:hint="eastAsia" w:cs="方正小标宋简体" w:asciiTheme="minorEastAsia" w:hAnsiTheme="minorEastAsia" w:eastAsiaTheme="minorEastAsia"/>
          <w:b/>
          <w:color w:val="000000"/>
          <w:sz w:val="36"/>
          <w:szCs w:val="36"/>
        </w:rPr>
        <w:t>《厦门市物业管理若干规定》（2011年6月1日施行）</w:t>
      </w:r>
    </w:p>
    <w:p>
      <w:pPr>
        <w:jc w:val="center"/>
        <w:rPr>
          <w:rFonts w:cs="方正小标宋简体" w:asciiTheme="minorEastAsia" w:hAnsiTheme="minorEastAsia" w:eastAsiaTheme="minorEastAsia"/>
          <w:b/>
          <w:color w:val="000000"/>
          <w:sz w:val="36"/>
          <w:szCs w:val="36"/>
        </w:rPr>
      </w:pPr>
      <w:r>
        <w:rPr>
          <w:rFonts w:hint="eastAsia" w:cs="方正小标宋简体" w:asciiTheme="minorEastAsia" w:hAnsiTheme="minorEastAsia" w:eastAsiaTheme="minorEastAsia"/>
          <w:b/>
          <w:color w:val="000000"/>
          <w:sz w:val="36"/>
          <w:szCs w:val="36"/>
        </w:rPr>
        <w:t>（2023年修订裁量权基准）</w:t>
      </w:r>
    </w:p>
    <w:tbl>
      <w:tblPr>
        <w:tblStyle w:val="10"/>
        <w:tblW w:w="14742" w:type="dxa"/>
        <w:jc w:val="center"/>
        <w:tblLayout w:type="fixed"/>
        <w:tblCellMar>
          <w:top w:w="0" w:type="dxa"/>
          <w:left w:w="108" w:type="dxa"/>
          <w:bottom w:w="0" w:type="dxa"/>
          <w:right w:w="108" w:type="dxa"/>
        </w:tblCellMar>
      </w:tblPr>
      <w:tblGrid>
        <w:gridCol w:w="694"/>
        <w:gridCol w:w="1255"/>
        <w:gridCol w:w="1770"/>
        <w:gridCol w:w="2039"/>
        <w:gridCol w:w="986"/>
        <w:gridCol w:w="3797"/>
        <w:gridCol w:w="1945"/>
        <w:gridCol w:w="2256"/>
      </w:tblGrid>
      <w:tr>
        <w:tblPrEx>
          <w:tblCellMar>
            <w:top w:w="0" w:type="dxa"/>
            <w:left w:w="108" w:type="dxa"/>
            <w:bottom w:w="0" w:type="dxa"/>
            <w:right w:w="108" w:type="dxa"/>
          </w:tblCellMar>
        </w:tblPrEx>
        <w:trPr>
          <w:tblHeader/>
          <w:jc w:val="center"/>
        </w:trPr>
        <w:tc>
          <w:tcPr>
            <w:tcW w:w="6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12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20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783"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19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CellMar>
            <w:top w:w="0" w:type="dxa"/>
            <w:left w:w="108" w:type="dxa"/>
            <w:bottom w:w="0" w:type="dxa"/>
            <w:right w:w="108" w:type="dxa"/>
          </w:tblCellMar>
        </w:tblPrEx>
        <w:trPr>
          <w:tblHeader/>
          <w:jc w:val="center"/>
        </w:trPr>
        <w:tc>
          <w:tcPr>
            <w:tcW w:w="6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2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0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w:t>
            </w:r>
          </w:p>
          <w:p>
            <w:pPr>
              <w:widowControl/>
              <w:spacing w:line="320" w:lineRule="exact"/>
              <w:jc w:val="center"/>
              <w:rPr>
                <w:rFonts w:ascii="宋体"/>
                <w:b/>
                <w:bCs/>
                <w:color w:val="000000"/>
                <w:kern w:val="0"/>
              </w:rPr>
            </w:pPr>
            <w:r>
              <w:rPr>
                <w:rFonts w:hint="eastAsia" w:ascii="宋体" w:hAnsi="宋体" w:cs="宋体"/>
                <w:b/>
                <w:bCs/>
                <w:color w:val="000000"/>
                <w:kern w:val="0"/>
              </w:rPr>
              <w:t>分类</w:t>
            </w:r>
          </w:p>
        </w:tc>
        <w:tc>
          <w:tcPr>
            <w:tcW w:w="3797"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19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r>
      <w:tr>
        <w:tblPrEx>
          <w:tblCellMar>
            <w:top w:w="0" w:type="dxa"/>
            <w:left w:w="108" w:type="dxa"/>
            <w:bottom w:w="0" w:type="dxa"/>
            <w:right w:w="108" w:type="dxa"/>
          </w:tblCellMar>
        </w:tblPrEx>
        <w:trPr>
          <w:trHeight w:val="247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违法建造</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在室外增设建筑物、构筑物和其它设施等，或者建设地下室，面积在5平方米以内的。</w:t>
            </w:r>
          </w:p>
        </w:tc>
        <w:tc>
          <w:tcPr>
            <w:tcW w:w="1945"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000000"/>
                <w:kern w:val="0"/>
              </w:rPr>
            </w:pPr>
            <w:r>
              <w:rPr>
                <w:rFonts w:hint="eastAsia" w:ascii="宋体" w:hAnsi="宋体" w:cs="宋体"/>
                <w:color w:val="000000"/>
                <w:kern w:val="0"/>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pStyle w:val="53"/>
              <w:spacing w:line="260" w:lineRule="exact"/>
              <w:rPr>
                <w:rFonts w:ascii="宋体" w:hAnsi="宋体"/>
                <w:color w:val="000000"/>
                <w:kern w:val="0"/>
              </w:rPr>
            </w:pPr>
            <w:r>
              <w:rPr>
                <w:rFonts w:hint="eastAsia" w:ascii="宋体" w:hAnsi="宋体"/>
                <w:color w:val="000000"/>
                <w:kern w:val="0"/>
              </w:rPr>
              <w:t>1.当事人获得产权证前，已存在的违法建造的，责令限期改正，对作为购房者的当事人可不并处罚款。</w:t>
            </w:r>
          </w:p>
          <w:p>
            <w:pPr>
              <w:pStyle w:val="53"/>
              <w:spacing w:line="260" w:lineRule="exact"/>
              <w:rPr>
                <w:rFonts w:ascii="宋体" w:hAnsi="宋体"/>
                <w:color w:val="000000"/>
                <w:kern w:val="0"/>
              </w:rPr>
            </w:pPr>
            <w:r>
              <w:rPr>
                <w:rFonts w:hint="eastAsia" w:ascii="宋体" w:hAnsi="宋体"/>
                <w:color w:val="000000"/>
                <w:kern w:val="0"/>
              </w:rPr>
              <w:t>2.在城市管理行政执法部门做出行政处罚决定之前,当事人自行拆除违法建造的，可以免予处罚。</w:t>
            </w:r>
          </w:p>
          <w:p>
            <w:pPr>
              <w:pStyle w:val="53"/>
              <w:spacing w:line="260" w:lineRule="exact"/>
              <w:rPr>
                <w:rFonts w:ascii="宋体" w:hAnsi="宋体"/>
                <w:color w:val="000000"/>
                <w:kern w:val="0"/>
              </w:rPr>
            </w:pPr>
            <w:r>
              <w:rPr>
                <w:rFonts w:hint="eastAsia" w:ascii="宋体" w:hAnsi="宋体"/>
                <w:color w:val="000000"/>
                <w:kern w:val="0"/>
              </w:rPr>
              <w:t>3.本条款处罚的标准应参照《福建省物业管理条例》第五十条之规定。</w:t>
            </w:r>
          </w:p>
          <w:p>
            <w:pPr>
              <w:pStyle w:val="53"/>
              <w:spacing w:line="260" w:lineRule="exact"/>
              <w:rPr>
                <w:rFonts w:ascii="宋体" w:hAnsi="宋体"/>
                <w:color w:val="000000"/>
                <w:kern w:val="0"/>
                <w:u w:val="single"/>
              </w:rPr>
            </w:pPr>
            <w:r>
              <w:rPr>
                <w:rFonts w:hint="eastAsia" w:ascii="宋体" w:hAnsi="宋体"/>
                <w:color w:val="000000"/>
                <w:kern w:val="0"/>
              </w:rPr>
              <w:t>4.增设轻质隔墙，不涉及一套改多套，可以不予处罚。</w:t>
            </w:r>
          </w:p>
        </w:tc>
      </w:tr>
      <w:tr>
        <w:tblPrEx>
          <w:tblCellMar>
            <w:top w:w="0" w:type="dxa"/>
            <w:left w:w="108" w:type="dxa"/>
            <w:bottom w:w="0" w:type="dxa"/>
            <w:right w:w="108" w:type="dxa"/>
          </w:tblCellMar>
        </w:tblPrEx>
        <w:trPr>
          <w:trHeight w:val="2428"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在室外增设建筑物、构筑物和其它设施等,或者建设地下室，面积在5至10平方米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157"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10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3414"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擅自改动房屋建筑主体和承重结构</w:t>
            </w:r>
          </w:p>
        </w:tc>
        <w:tc>
          <w:tcPr>
            <w:tcW w:w="177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&lt;&lt;厦门市物业管理若干规定&gt;&gt;第二十九条第二款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&lt;&lt;厦门市物业管理若干规定&gt;&gt;第四十六条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轻微</w:t>
            </w:r>
          </w:p>
        </w:tc>
        <w:tc>
          <w:tcPr>
            <w:tcW w:w="3797" w:type="dxa"/>
            <w:tcBorders>
              <w:top w:val="nil"/>
              <w:left w:val="nil"/>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拆除、变动建筑物的建筑主体等2平方米以下或拆改承重结构等1平方米以下的。</w:t>
            </w:r>
          </w:p>
        </w:tc>
        <w:tc>
          <w:tcPr>
            <w:tcW w:w="1945" w:type="dxa"/>
            <w:tcBorders>
              <w:top w:val="nil"/>
              <w:left w:val="nil"/>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ascii="宋体" w:hAnsi="宋体" w:cs="宋体"/>
                <w:color w:val="000000"/>
                <w:kern w:val="0"/>
              </w:rPr>
            </w:pPr>
            <w:r>
              <w:rPr>
                <w:rFonts w:hint="eastAsia" w:ascii="宋体" w:hAnsi="宋体" w:cs="宋体"/>
                <w:color w:val="000000"/>
                <w:kern w:val="0"/>
              </w:rPr>
              <w:t>1-4同上。</w:t>
            </w:r>
          </w:p>
          <w:p>
            <w:pPr>
              <w:widowControl/>
              <w:spacing w:line="280" w:lineRule="exact"/>
              <w:rPr>
                <w:rFonts w:ascii="宋体" w:hAnsi="宋体"/>
              </w:rPr>
            </w:pPr>
            <w:r>
              <w:rPr>
                <w:rFonts w:hint="eastAsia" w:ascii="宋体" w:hAnsi="宋体" w:cs="宋体"/>
                <w:color w:val="000000"/>
                <w:kern w:val="0"/>
              </w:rPr>
              <w:t>5.</w:t>
            </w:r>
            <w:r>
              <w:rPr>
                <w:rFonts w:hint="eastAsia" w:ascii="宋体" w:hAnsi="宋体" w:cs="宋体"/>
                <w:kern w:val="0"/>
              </w:rPr>
              <w:t>经原设计单位或者具有相应资质的单位出具设计方案或鉴定意见，符合相关技术规范或标准的，可以不予处罚。</w:t>
            </w:r>
          </w:p>
          <w:p>
            <w:pPr>
              <w:widowControl/>
              <w:spacing w:line="280" w:lineRule="exact"/>
              <w:rPr>
                <w:rFonts w:ascii="宋体"/>
                <w:color w:val="000000"/>
                <w:kern w:val="0"/>
              </w:rPr>
            </w:pPr>
            <w:r>
              <w:rPr>
                <w:rFonts w:hint="eastAsia" w:ascii="宋体" w:hAnsi="宋体"/>
                <w:color w:val="000000"/>
              </w:rPr>
              <w:t xml:space="preserve">   建筑主体是指建筑实体的结构构造，包括屋盖、楼盖、梁、柱、支撑、墙体、连接接点和基础；承重结构是指直接将自重与各种外加作用力系统地传递给基础地基的主要结构构件和其连接接点，包括承重墙体、立杆、柱、框架柱、支墩、楼板、梁、屋架、悬索等。</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一般</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拆除、变动建筑物的建筑主体等2至4平方米或拆改承重结构等1至2平方米的。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r>
      <w:tr>
        <w:tblPrEx>
          <w:tblCellMar>
            <w:top w:w="0" w:type="dxa"/>
            <w:left w:w="108" w:type="dxa"/>
            <w:bottom w:w="0" w:type="dxa"/>
            <w:right w:w="108" w:type="dxa"/>
          </w:tblCellMar>
        </w:tblPrEx>
        <w:trPr>
          <w:trHeight w:val="1713"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center"/>
              <w:rPr>
                <w:rFonts w:ascii="宋体" w:hAnsi="宋体"/>
                <w:color w:val="000000"/>
                <w:kern w:val="0"/>
              </w:rPr>
            </w:pPr>
            <w:r>
              <w:rPr>
                <w:rFonts w:hint="eastAsia" w:ascii="宋体" w:hAnsi="宋体"/>
                <w:color w:val="000000"/>
              </w:rPr>
              <w:t>严重</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拆除、变动建筑物的建筑主体等4平方米以上或拆改承重结构等2平方米以上的。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责令限期改正，处以四万元以上五万元以下罚款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r>
      <w:tr>
        <w:tblPrEx>
          <w:tblCellMar>
            <w:top w:w="0" w:type="dxa"/>
            <w:left w:w="108" w:type="dxa"/>
            <w:bottom w:w="0" w:type="dxa"/>
            <w:right w:w="108" w:type="dxa"/>
          </w:tblCellMar>
        </w:tblPrEx>
        <w:trPr>
          <w:trHeight w:val="22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color w:val="000000"/>
                <w:kern w:val="0"/>
              </w:rPr>
            </w:pPr>
            <w:r>
              <w:rPr>
                <w:rFonts w:ascii="宋体" w:hAnsi="宋体" w:cs="宋体"/>
                <w:color w:val="000000"/>
                <w:kern w:val="0"/>
              </w:rPr>
              <w:t>3</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改变建筑设计使用功能</w:t>
            </w:r>
          </w:p>
        </w:tc>
        <w:tc>
          <w:tcPr>
            <w:tcW w:w="1770"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&lt;&lt;厦门市物业管理若干规定&gt;&gt;第二十九条第二款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&lt;&lt;厦门市物业管理若干规定&gt;&gt;第四十六条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rPr>
              <w:t>轻微</w:t>
            </w:r>
          </w:p>
        </w:tc>
        <w:tc>
          <w:tcPr>
            <w:tcW w:w="3797" w:type="dxa"/>
            <w:tcBorders>
              <w:top w:val="nil"/>
              <w:left w:val="nil"/>
              <w:bottom w:val="single" w:color="auto" w:sz="4" w:space="0"/>
              <w:right w:val="single" w:color="auto" w:sz="4" w:space="0"/>
            </w:tcBorders>
            <w:vAlign w:val="center"/>
          </w:tcPr>
          <w:p>
            <w:pPr>
              <w:rPr>
                <w:rFonts w:ascii="宋体" w:hAnsi="宋体" w:cs="宋体"/>
              </w:rPr>
            </w:pPr>
            <w:r>
              <w:rPr>
                <w:rFonts w:hint="eastAsia" w:ascii="宋体" w:hAnsi="宋体"/>
              </w:rPr>
              <w:t>改变建筑设计使用功能，面积在5平方米以内的</w:t>
            </w:r>
          </w:p>
        </w:tc>
        <w:tc>
          <w:tcPr>
            <w:tcW w:w="1945" w:type="dxa"/>
            <w:tcBorders>
              <w:top w:val="nil"/>
              <w:left w:val="nil"/>
              <w:bottom w:val="single" w:color="auto" w:sz="4" w:space="0"/>
              <w:right w:val="single" w:color="auto" w:sz="4" w:space="0"/>
            </w:tcBorders>
            <w:vAlign w:val="center"/>
          </w:tcPr>
          <w:p>
            <w:pPr>
              <w:rPr>
                <w:rFonts w:ascii="宋体" w:hAnsi="宋体" w:cs="宋体"/>
              </w:rPr>
            </w:pPr>
            <w:r>
              <w:rPr>
                <w:rFonts w:hint="eastAsia" w:ascii="宋体" w:hAnsi="宋体"/>
              </w:rPr>
              <w:t>责令限期改正，可以处以二万元以上三万元以下罚款</w:t>
            </w:r>
          </w:p>
        </w:tc>
        <w:tc>
          <w:tcPr>
            <w:tcW w:w="2256" w:type="dxa"/>
            <w:vMerge w:val="restart"/>
            <w:tcBorders>
              <w:top w:val="nil"/>
              <w:left w:val="nil"/>
              <w:right w:val="single" w:color="auto" w:sz="4" w:space="0"/>
            </w:tcBorders>
            <w:vAlign w:val="center"/>
          </w:tcPr>
          <w:p>
            <w:pPr>
              <w:widowControl/>
              <w:spacing w:line="280" w:lineRule="exact"/>
              <w:rPr>
                <w:rFonts w:ascii="宋体" w:hAnsi="宋体"/>
                <w:color w:val="000000"/>
                <w:kern w:val="0"/>
              </w:rPr>
            </w:pPr>
            <w:r>
              <w:rPr>
                <w:rFonts w:hint="eastAsia" w:ascii="宋体" w:hAnsi="宋体"/>
                <w:color w:val="000000"/>
                <w:kern w:val="0"/>
              </w:rPr>
              <w:t>1、本条款处罚的标准应参照《福建省物业管理条例》第五十条第（一）款“改变设计图纸确定的卫生间、厨房位置”；第（四）款“擅自改变规划用途，将住宅、车位（库）、储藏间改变为经营性用房之规定”。</w:t>
            </w:r>
          </w:p>
          <w:p>
            <w:pPr>
              <w:widowControl/>
              <w:spacing w:line="280" w:lineRule="exact"/>
              <w:rPr>
                <w:rFonts w:ascii="宋体"/>
                <w:kern w:val="0"/>
              </w:rPr>
            </w:pPr>
            <w:r>
              <w:rPr>
                <w:rFonts w:hint="eastAsia" w:ascii="宋体" w:hAnsi="宋体" w:cs="宋体"/>
                <w:kern w:val="0"/>
              </w:rPr>
              <w:t>2.在城市管理行政执法部门作出行政处罚决定之前,当事人自行改正违法行为的，可以免予处罚。　</w:t>
            </w:r>
          </w:p>
        </w:tc>
      </w:tr>
      <w:tr>
        <w:tblPrEx>
          <w:tblCellMar>
            <w:top w:w="0" w:type="dxa"/>
            <w:left w:w="108" w:type="dxa"/>
            <w:bottom w:w="0" w:type="dxa"/>
            <w:right w:w="108" w:type="dxa"/>
          </w:tblCellMar>
        </w:tblPrEx>
        <w:trPr>
          <w:trHeight w:val="240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改变建筑设计使用功能，面积在</w:t>
            </w:r>
            <w:r>
              <w:rPr>
                <w:rFonts w:ascii="宋体" w:hAnsi="宋体" w:cs="宋体"/>
                <w:kern w:val="0"/>
              </w:rPr>
              <w:t>5</w:t>
            </w:r>
            <w:r>
              <w:rPr>
                <w:rFonts w:hint="eastAsia" w:ascii="宋体" w:hAnsi="宋体" w:cs="宋体"/>
                <w:kern w:val="0"/>
              </w:rPr>
              <w:t>至</w:t>
            </w:r>
            <w:r>
              <w:rPr>
                <w:rFonts w:ascii="宋体" w:hAnsi="宋体" w:cs="宋体"/>
                <w:kern w:val="0"/>
              </w:rPr>
              <w:t>10</w:t>
            </w:r>
            <w:r>
              <w:rPr>
                <w:rFonts w:hint="eastAsia" w:ascii="宋体" w:hAnsi="宋体" w:cs="宋体"/>
                <w:kern w:val="0"/>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责令限期改正，可以处以三万元以上四万元以下罚款</w:t>
            </w:r>
          </w:p>
        </w:tc>
        <w:tc>
          <w:tcPr>
            <w:tcW w:w="2256" w:type="dxa"/>
            <w:vMerge w:val="continue"/>
            <w:tcBorders>
              <w:left w:val="single" w:color="auto" w:sz="4" w:space="0"/>
              <w:right w:val="single" w:color="auto" w:sz="4" w:space="0"/>
            </w:tcBorders>
            <w:vAlign w:val="center"/>
          </w:tcPr>
          <w:p>
            <w:pPr>
              <w:widowControl/>
              <w:spacing w:line="320" w:lineRule="exact"/>
              <w:rPr>
                <w:rFonts w:ascii="宋体"/>
                <w:color w:val="FF0000"/>
                <w:kern w:val="0"/>
              </w:rPr>
            </w:pPr>
          </w:p>
        </w:tc>
      </w:tr>
      <w:tr>
        <w:tblPrEx>
          <w:tblCellMar>
            <w:top w:w="0" w:type="dxa"/>
            <w:left w:w="108" w:type="dxa"/>
            <w:bottom w:w="0" w:type="dxa"/>
            <w:right w:w="108" w:type="dxa"/>
          </w:tblCellMar>
        </w:tblPrEx>
        <w:trPr>
          <w:trHeight w:val="363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hAnsi="宋体"/>
                <w:kern w:val="0"/>
              </w:rPr>
            </w:pPr>
            <w:r>
              <w:rPr>
                <w:rFonts w:hint="eastAsia" w:ascii="宋体" w:hAnsi="宋体"/>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rPr>
              <w:t>改变建筑设计使用功能，面积在10平方米以上的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rPr>
              <w:t>责令限期改正，处以四万元以上五万元以下罚款</w:t>
            </w:r>
          </w:p>
        </w:tc>
        <w:tc>
          <w:tcPr>
            <w:tcW w:w="2256" w:type="dxa"/>
            <w:vMerge w:val="continue"/>
            <w:tcBorders>
              <w:left w:val="single" w:color="auto" w:sz="4" w:space="0"/>
              <w:bottom w:val="single" w:color="auto" w:sz="4" w:space="0"/>
              <w:right w:val="single" w:color="auto" w:sz="4" w:space="0"/>
            </w:tcBorders>
            <w:vAlign w:val="center"/>
          </w:tcPr>
          <w:p>
            <w:pPr>
              <w:widowControl/>
              <w:spacing w:line="320" w:lineRule="exact"/>
              <w:rPr>
                <w:rFonts w:ascii="宋体"/>
                <w:color w:val="FF0000"/>
                <w:kern w:val="0"/>
              </w:rPr>
            </w:pPr>
          </w:p>
        </w:tc>
      </w:tr>
      <w:tr>
        <w:tblPrEx>
          <w:tblCellMar>
            <w:top w:w="0" w:type="dxa"/>
            <w:left w:w="108" w:type="dxa"/>
            <w:bottom w:w="0" w:type="dxa"/>
            <w:right w:w="108" w:type="dxa"/>
          </w:tblCellMar>
        </w:tblPrEx>
        <w:trPr>
          <w:trHeight w:val="20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4</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物业服务企业发现有业主或使用人的违法行为未立即制止，并在二十四小时内报告城市管理行政执法部门的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第二十九条第三款 物业服务企业发现业主或使用人存在违法行为时，应当立即制止，并在二十四小时内报告城市管理行政执法部门。</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第四十七条  物业服务企业违反本规定第二十九条第三款规定的，由城市管理行政执法部门责令其改正；造成严重后果的，可以处以一千元以上五千元以下的罚款。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有制止违法行为但未在</w:t>
            </w:r>
            <w:r>
              <w:rPr>
                <w:rFonts w:ascii="宋体" w:hAnsi="宋体" w:cs="宋体"/>
                <w:color w:val="000000"/>
                <w:kern w:val="0"/>
              </w:rPr>
              <w:t>24</w:t>
            </w:r>
            <w:r>
              <w:rPr>
                <w:rFonts w:hint="eastAsia" w:ascii="宋体" w:hAnsi="宋体" w:cs="宋体"/>
                <w:color w:val="000000"/>
                <w:kern w:val="0"/>
              </w:rPr>
              <w:t>小时内报告城管执法部门</w:t>
            </w:r>
            <w:r>
              <w:rPr>
                <w:rFonts w:ascii="宋体" w:cs="宋体"/>
                <w:color w:val="000000"/>
                <w:kern w:val="0"/>
              </w:rPr>
              <w:t>,</w:t>
            </w:r>
            <w:r>
              <w:rPr>
                <w:rFonts w:hint="eastAsia" w:ascii="宋体" w:hAnsi="宋体" w:cs="宋体"/>
                <w:color w:val="000000"/>
                <w:kern w:val="0"/>
              </w:rPr>
              <w:t>且违法行为未既成事实的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000000"/>
                <w:kern w:val="0"/>
              </w:rPr>
            </w:pPr>
            <w:r>
              <w:rPr>
                <w:rFonts w:hint="eastAsia" w:ascii="宋体" w:hAnsi="宋体" w:cs="宋体"/>
                <w:color w:val="000000"/>
                <w:kern w:val="0"/>
              </w:rPr>
              <w:t>房屋装修应当在开工前向物业管理区域内的物业服务企业申报登记。物业服务企业应当将本条规定和房屋装修中的其他禁止行为、注意事项书面告知业主或者使用人，并由其签字确认。</w:t>
            </w:r>
          </w:p>
        </w:tc>
      </w:tr>
      <w:tr>
        <w:tblPrEx>
          <w:tblCellMar>
            <w:top w:w="0" w:type="dxa"/>
            <w:left w:w="108" w:type="dxa"/>
            <w:bottom w:w="0" w:type="dxa"/>
            <w:right w:w="108" w:type="dxa"/>
          </w:tblCellMar>
        </w:tblPrEx>
        <w:trPr>
          <w:trHeight w:val="2246"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有制止但未在规定时间内报告城管执法部门</w:t>
            </w:r>
            <w:r>
              <w:rPr>
                <w:rFonts w:ascii="宋体" w:cs="宋体"/>
                <w:color w:val="000000"/>
                <w:kern w:val="0"/>
              </w:rPr>
              <w:t>,</w:t>
            </w:r>
            <w:r>
              <w:rPr>
                <w:rFonts w:hint="eastAsia" w:ascii="宋体" w:hAnsi="宋体" w:cs="宋体"/>
                <w:color w:val="000000"/>
                <w:kern w:val="0"/>
              </w:rPr>
              <w:t>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责令改正，并处一千元以上三千元以下罚款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141"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未制止违法行为，未在规定时间报告城管执法部门，使违法行为既成事实的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责令改正，并处三千元以上五千元以下罚款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5</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00" w:lineRule="exact"/>
              <w:rPr>
                <w:rFonts w:ascii="宋体"/>
                <w:color w:val="000000"/>
                <w:kern w:val="0"/>
              </w:rPr>
            </w:pPr>
            <w:r>
              <w:rPr>
                <w:rFonts w:hint="eastAsia" w:ascii="宋体" w:hAnsi="宋体" w:cs="宋体"/>
                <w:color w:val="000000"/>
                <w:kern w:val="0"/>
              </w:rPr>
              <w:t>施工单位在物业管理区域内开挖、埋设或者维修供电、给排水、排污、燃气、电信等管道管线，除抢修等紧急情况外，未与物业服务企业就开挖后的路面、绿地等恢复原状的事项签订协议后施工，并未就协议内容及其履行情况在物业管理区域内进行公示</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第三十条 在物业管理区域内开挖、埋设或者维修供电、给排水、排污、燃气、电信等管道管线，除抢修等紧急情况外，应当与物业服务企业就开挖后的路面、绿地等恢复原状的事项签订协议后方可施工，并就协议内容及其履行情况在物业管理区域内进行公示。</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第四十八条 施工单位违反本规定第三十条规定的，由城市管理行政执法部门责令改正；拒不改正的，可以处以一万元以上三万元以下的罚款。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开挖面积在</w:t>
            </w:r>
            <w:r>
              <w:rPr>
                <w:rFonts w:ascii="宋体" w:hAnsi="宋体" w:cs="宋体"/>
                <w:color w:val="000000"/>
                <w:kern w:val="0"/>
              </w:rPr>
              <w:t>50</w:t>
            </w:r>
            <w:r>
              <w:rPr>
                <w:rFonts w:hint="eastAsia" w:ascii="宋体" w:hAnsi="宋体" w:cs="宋体"/>
                <w:color w:val="000000"/>
                <w:kern w:val="0"/>
              </w:rPr>
              <w:t>平方米以下的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责令改正；拒不改正，可以处一万元以上一点五万元以下罚款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开挖面积在</w:t>
            </w:r>
            <w:r>
              <w:rPr>
                <w:rFonts w:ascii="宋体" w:hAnsi="宋体" w:cs="宋体"/>
                <w:color w:val="000000"/>
                <w:kern w:val="0"/>
              </w:rPr>
              <w:t>50</w:t>
            </w:r>
            <w:r>
              <w:rPr>
                <w:rFonts w:hint="eastAsia" w:ascii="宋体" w:hAnsi="宋体" w:cs="宋体"/>
                <w:color w:val="000000"/>
                <w:kern w:val="0"/>
              </w:rPr>
              <w:t>至</w:t>
            </w:r>
            <w:r>
              <w:rPr>
                <w:rFonts w:ascii="宋体" w:hAnsi="宋体" w:cs="宋体"/>
                <w:color w:val="000000"/>
                <w:kern w:val="0"/>
              </w:rPr>
              <w:t>100</w:t>
            </w:r>
            <w:r>
              <w:rPr>
                <w:rFonts w:hint="eastAsia" w:ascii="宋体" w:hAnsi="宋体" w:cs="宋体"/>
                <w:color w:val="000000"/>
                <w:kern w:val="0"/>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责令改正；拒不改正，可以处一点五万元以上二万元以下罚款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w:t>
            </w:r>
            <w:r>
              <w:rPr>
                <w:rFonts w:ascii="宋体" w:hAnsi="宋体" w:cs="宋体"/>
                <w:color w:val="000000"/>
                <w:kern w:val="0"/>
              </w:rPr>
              <w:t>100</w:t>
            </w:r>
            <w:r>
              <w:rPr>
                <w:rFonts w:hint="eastAsia" w:ascii="宋体" w:hAnsi="宋体" w:cs="宋体"/>
                <w:color w:val="000000"/>
                <w:kern w:val="0"/>
              </w:rPr>
              <w:t>平方米以上的；二次以上违法的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责令改正；拒不改正，处二万元以上三万元以下罚款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6</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未在划定的车位内按照标示停放车辆的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第三十一条 在物业管理区域内停放机动车时，应当在划定的车位内按照标示停放。物业服务企业对违反规定停放机动车的，应当及时予以制止。</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第四十九条 违反本规定第三十一条规定，不听劝阻的，物业服务企业应当向城市管理行政执法部门报告，由城市管理行政执法部门责令其改正，可以处以一百元的罚款；造成严重影响物业管理区域管理秩序后果的，城市管理行政执法部门可以将该车辆拖至指定的地点并告知物业服务企业，有关费用由违法行为人承担。</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不予处罚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初次违法并及时改正，没有造成危害后果</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占用消防通道的，应按照《</w:t>
            </w:r>
            <w:r>
              <w:rPr>
                <w:rFonts w:hint="eastAsia" w:ascii="宋体" w:hAnsi="宋体" w:cs="宋体"/>
                <w:color w:val="000000"/>
                <w:kern w:val="0"/>
                <w:lang w:eastAsia="zh-CN"/>
              </w:rPr>
              <w:t>中华人民共和国</w:t>
            </w:r>
            <w:bookmarkStart w:id="0" w:name="_GoBack"/>
            <w:bookmarkEnd w:id="0"/>
            <w:r>
              <w:rPr>
                <w:rFonts w:hint="eastAsia" w:ascii="宋体" w:hAnsi="宋体" w:cs="宋体"/>
                <w:color w:val="000000"/>
                <w:kern w:val="0"/>
              </w:rPr>
              <w:t>消防法》第60条，抄告消防主管部门。</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000000"/>
                <w:kern w:val="0"/>
              </w:rPr>
            </w:pPr>
            <w:r>
              <w:rPr>
                <w:rFonts w:hint="eastAsia" w:ascii="宋体" w:hAnsi="宋体" w:cs="宋体"/>
                <w:kern w:val="0"/>
              </w:rPr>
              <w:t>逾期未改正</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责令改正，处一百元罚款。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7</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物业服务企业为业主指定搬运、装修等特约服务，或者采取其他方式限制业主自由选择搬运、装修等服务</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第三十二条 物业管理区域内，物业服务企业不得为业主指定搬运、装修等特约服务，或者采取其他方式限制业主自由选择搬运、装修等服务。</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第五十条 物业服务企业违反本规定第三十二条规定的，由城市管理行政执法部门责令改正，可以处以五千元以上二万元以下的罚款。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hAnsi="宋体" w:cs="宋体"/>
                <w:color w:val="000000"/>
                <w:kern w:val="0"/>
              </w:rPr>
              <w:t>首次违法的。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可以处五千元以上一万元以下罚款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cs="宋体"/>
                <w:color w:val="000000"/>
                <w:kern w:val="0"/>
              </w:rPr>
              <w:t>两年内</w:t>
            </w:r>
            <w:r>
              <w:rPr>
                <w:rFonts w:hint="eastAsia" w:ascii="宋体" w:hAnsi="宋体" w:cs="宋体"/>
                <w:color w:val="000000"/>
                <w:kern w:val="0"/>
              </w:rPr>
              <w:t>二次违法的。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处一万元以上一万五千元以下罚款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cs="宋体"/>
                <w:color w:val="000000"/>
                <w:kern w:val="0"/>
              </w:rPr>
              <w:t>造成严重危害后果的；两年内</w:t>
            </w:r>
            <w:r>
              <w:rPr>
                <w:rFonts w:hint="eastAsia" w:ascii="宋体" w:hAnsi="宋体" w:cs="宋体"/>
                <w:color w:val="000000"/>
                <w:kern w:val="0"/>
              </w:rPr>
              <w:t>三次以上违法的。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处一万五千元以上两万元以下罚款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bl>
    <w:p>
      <w:pPr>
        <w:spacing w:line="320" w:lineRule="exact"/>
        <w:rPr>
          <w:rFonts w:ascii="宋体"/>
          <w:color w:val="000000"/>
        </w:rPr>
      </w:pPr>
    </w:p>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w:t>
    </w:r>
    <w:r>
      <w:rPr>
        <w:rStyle w:val="12"/>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12DEA"/>
    <w:rsid w:val="000304CA"/>
    <w:rsid w:val="00032369"/>
    <w:rsid w:val="00042D37"/>
    <w:rsid w:val="00047C1B"/>
    <w:rsid w:val="00076B37"/>
    <w:rsid w:val="000847B1"/>
    <w:rsid w:val="00090816"/>
    <w:rsid w:val="00096A08"/>
    <w:rsid w:val="000A2CCE"/>
    <w:rsid w:val="000A3735"/>
    <w:rsid w:val="000C78DA"/>
    <w:rsid w:val="000E258B"/>
    <w:rsid w:val="000F11F8"/>
    <w:rsid w:val="0010264E"/>
    <w:rsid w:val="00102FAD"/>
    <w:rsid w:val="00130757"/>
    <w:rsid w:val="00134C08"/>
    <w:rsid w:val="0017510C"/>
    <w:rsid w:val="00177968"/>
    <w:rsid w:val="00192CDD"/>
    <w:rsid w:val="001A00DB"/>
    <w:rsid w:val="001A4FB3"/>
    <w:rsid w:val="001C1CA2"/>
    <w:rsid w:val="001C5923"/>
    <w:rsid w:val="001D16DE"/>
    <w:rsid w:val="001D6D36"/>
    <w:rsid w:val="001E45D9"/>
    <w:rsid w:val="001E6E03"/>
    <w:rsid w:val="001F7C31"/>
    <w:rsid w:val="00200C53"/>
    <w:rsid w:val="0020220A"/>
    <w:rsid w:val="002125AA"/>
    <w:rsid w:val="002265EE"/>
    <w:rsid w:val="00261ABC"/>
    <w:rsid w:val="00264206"/>
    <w:rsid w:val="0027784B"/>
    <w:rsid w:val="002D1784"/>
    <w:rsid w:val="002D3CFE"/>
    <w:rsid w:val="002D58DF"/>
    <w:rsid w:val="002E0DDC"/>
    <w:rsid w:val="002F22FF"/>
    <w:rsid w:val="002F52BC"/>
    <w:rsid w:val="0031182D"/>
    <w:rsid w:val="00312081"/>
    <w:rsid w:val="00335AD4"/>
    <w:rsid w:val="003450C8"/>
    <w:rsid w:val="0037291D"/>
    <w:rsid w:val="003930E4"/>
    <w:rsid w:val="003972AF"/>
    <w:rsid w:val="003A1CD1"/>
    <w:rsid w:val="003B0ED0"/>
    <w:rsid w:val="003B1405"/>
    <w:rsid w:val="003B2408"/>
    <w:rsid w:val="003B378F"/>
    <w:rsid w:val="003D73DE"/>
    <w:rsid w:val="003E2268"/>
    <w:rsid w:val="003F283F"/>
    <w:rsid w:val="003F4A4A"/>
    <w:rsid w:val="003F57B5"/>
    <w:rsid w:val="00402F02"/>
    <w:rsid w:val="004135D6"/>
    <w:rsid w:val="00422A2C"/>
    <w:rsid w:val="0042319B"/>
    <w:rsid w:val="0044398A"/>
    <w:rsid w:val="004620AC"/>
    <w:rsid w:val="00462C00"/>
    <w:rsid w:val="00466F32"/>
    <w:rsid w:val="00473D26"/>
    <w:rsid w:val="004A4C89"/>
    <w:rsid w:val="004B311B"/>
    <w:rsid w:val="004E6360"/>
    <w:rsid w:val="004F26CF"/>
    <w:rsid w:val="004F53A5"/>
    <w:rsid w:val="00525060"/>
    <w:rsid w:val="005254D6"/>
    <w:rsid w:val="00536077"/>
    <w:rsid w:val="00545733"/>
    <w:rsid w:val="005464F0"/>
    <w:rsid w:val="0055435D"/>
    <w:rsid w:val="00556C12"/>
    <w:rsid w:val="005602A3"/>
    <w:rsid w:val="00564B91"/>
    <w:rsid w:val="00573155"/>
    <w:rsid w:val="0058096A"/>
    <w:rsid w:val="00582261"/>
    <w:rsid w:val="00592B15"/>
    <w:rsid w:val="0059797C"/>
    <w:rsid w:val="005A5300"/>
    <w:rsid w:val="005A7572"/>
    <w:rsid w:val="005B454A"/>
    <w:rsid w:val="005D1DFB"/>
    <w:rsid w:val="005D4F1E"/>
    <w:rsid w:val="005D6B82"/>
    <w:rsid w:val="005E49B7"/>
    <w:rsid w:val="006149A3"/>
    <w:rsid w:val="006207A4"/>
    <w:rsid w:val="006209EF"/>
    <w:rsid w:val="0062790C"/>
    <w:rsid w:val="00633344"/>
    <w:rsid w:val="00643FC5"/>
    <w:rsid w:val="00663131"/>
    <w:rsid w:val="00663188"/>
    <w:rsid w:val="0067787C"/>
    <w:rsid w:val="006913CF"/>
    <w:rsid w:val="00692A5C"/>
    <w:rsid w:val="00697966"/>
    <w:rsid w:val="006A7621"/>
    <w:rsid w:val="006B1053"/>
    <w:rsid w:val="006B200A"/>
    <w:rsid w:val="006B420D"/>
    <w:rsid w:val="006B77B6"/>
    <w:rsid w:val="006C002C"/>
    <w:rsid w:val="006C2578"/>
    <w:rsid w:val="006D60D8"/>
    <w:rsid w:val="00715E5E"/>
    <w:rsid w:val="00726D62"/>
    <w:rsid w:val="0075457E"/>
    <w:rsid w:val="00755BE1"/>
    <w:rsid w:val="00762B98"/>
    <w:rsid w:val="0077462C"/>
    <w:rsid w:val="0077648D"/>
    <w:rsid w:val="007818F0"/>
    <w:rsid w:val="00793851"/>
    <w:rsid w:val="00794D4A"/>
    <w:rsid w:val="007A6CE2"/>
    <w:rsid w:val="007B2236"/>
    <w:rsid w:val="007B50B6"/>
    <w:rsid w:val="007B668E"/>
    <w:rsid w:val="007C7FA8"/>
    <w:rsid w:val="007F5C8B"/>
    <w:rsid w:val="00813E26"/>
    <w:rsid w:val="00817E3D"/>
    <w:rsid w:val="00851CE0"/>
    <w:rsid w:val="008565AB"/>
    <w:rsid w:val="00875001"/>
    <w:rsid w:val="00882004"/>
    <w:rsid w:val="00897910"/>
    <w:rsid w:val="008D04D2"/>
    <w:rsid w:val="008D0ACE"/>
    <w:rsid w:val="008D15BB"/>
    <w:rsid w:val="008E5506"/>
    <w:rsid w:val="008E7D19"/>
    <w:rsid w:val="008F6CE9"/>
    <w:rsid w:val="0090648D"/>
    <w:rsid w:val="0090799E"/>
    <w:rsid w:val="00913F19"/>
    <w:rsid w:val="00915F1C"/>
    <w:rsid w:val="009166E0"/>
    <w:rsid w:val="00917238"/>
    <w:rsid w:val="00926D67"/>
    <w:rsid w:val="0094599A"/>
    <w:rsid w:val="00951011"/>
    <w:rsid w:val="00953DED"/>
    <w:rsid w:val="00962172"/>
    <w:rsid w:val="00962CF7"/>
    <w:rsid w:val="009711AC"/>
    <w:rsid w:val="009A131A"/>
    <w:rsid w:val="009C1F8E"/>
    <w:rsid w:val="009C3085"/>
    <w:rsid w:val="009C5666"/>
    <w:rsid w:val="009E061C"/>
    <w:rsid w:val="009E1C6B"/>
    <w:rsid w:val="009E4164"/>
    <w:rsid w:val="009E5078"/>
    <w:rsid w:val="009F1908"/>
    <w:rsid w:val="009F24D9"/>
    <w:rsid w:val="00A23E27"/>
    <w:rsid w:val="00A420F9"/>
    <w:rsid w:val="00A46250"/>
    <w:rsid w:val="00A60550"/>
    <w:rsid w:val="00A63E9E"/>
    <w:rsid w:val="00A64E9B"/>
    <w:rsid w:val="00A770C5"/>
    <w:rsid w:val="00A97636"/>
    <w:rsid w:val="00AB2B3C"/>
    <w:rsid w:val="00AB49F5"/>
    <w:rsid w:val="00AC50A2"/>
    <w:rsid w:val="00AE0FD1"/>
    <w:rsid w:val="00AE7D0B"/>
    <w:rsid w:val="00AF088D"/>
    <w:rsid w:val="00B1108E"/>
    <w:rsid w:val="00B13F45"/>
    <w:rsid w:val="00B54FFA"/>
    <w:rsid w:val="00B671E7"/>
    <w:rsid w:val="00B7376B"/>
    <w:rsid w:val="00B81680"/>
    <w:rsid w:val="00BA3700"/>
    <w:rsid w:val="00BA7043"/>
    <w:rsid w:val="00BB209D"/>
    <w:rsid w:val="00BB2A34"/>
    <w:rsid w:val="00BB74C0"/>
    <w:rsid w:val="00BC13D1"/>
    <w:rsid w:val="00BC5835"/>
    <w:rsid w:val="00BD02C5"/>
    <w:rsid w:val="00BD0749"/>
    <w:rsid w:val="00BF0EB6"/>
    <w:rsid w:val="00BF14A4"/>
    <w:rsid w:val="00C24CE7"/>
    <w:rsid w:val="00C278A2"/>
    <w:rsid w:val="00C30327"/>
    <w:rsid w:val="00C34B68"/>
    <w:rsid w:val="00C505FE"/>
    <w:rsid w:val="00C70AE3"/>
    <w:rsid w:val="00C8079B"/>
    <w:rsid w:val="00C96E19"/>
    <w:rsid w:val="00CC406B"/>
    <w:rsid w:val="00CD017B"/>
    <w:rsid w:val="00CD4CEF"/>
    <w:rsid w:val="00CE2E17"/>
    <w:rsid w:val="00D0088D"/>
    <w:rsid w:val="00D1355F"/>
    <w:rsid w:val="00D2257A"/>
    <w:rsid w:val="00D4287E"/>
    <w:rsid w:val="00D5526C"/>
    <w:rsid w:val="00D5553A"/>
    <w:rsid w:val="00D831F4"/>
    <w:rsid w:val="00D92F99"/>
    <w:rsid w:val="00DA6567"/>
    <w:rsid w:val="00DD38C0"/>
    <w:rsid w:val="00DE3107"/>
    <w:rsid w:val="00DE385B"/>
    <w:rsid w:val="00DF04AA"/>
    <w:rsid w:val="00E03C22"/>
    <w:rsid w:val="00E06103"/>
    <w:rsid w:val="00E06645"/>
    <w:rsid w:val="00E13D4C"/>
    <w:rsid w:val="00E238EB"/>
    <w:rsid w:val="00E4375A"/>
    <w:rsid w:val="00E62B7D"/>
    <w:rsid w:val="00E73E97"/>
    <w:rsid w:val="00E740D2"/>
    <w:rsid w:val="00E77D57"/>
    <w:rsid w:val="00E85C30"/>
    <w:rsid w:val="00EB548F"/>
    <w:rsid w:val="00EC1238"/>
    <w:rsid w:val="00ED716A"/>
    <w:rsid w:val="00EF2405"/>
    <w:rsid w:val="00F0794C"/>
    <w:rsid w:val="00F10D4A"/>
    <w:rsid w:val="00F1198C"/>
    <w:rsid w:val="00F158D7"/>
    <w:rsid w:val="00F2060A"/>
    <w:rsid w:val="00F414FB"/>
    <w:rsid w:val="00F761AA"/>
    <w:rsid w:val="00F8123A"/>
    <w:rsid w:val="00F8368E"/>
    <w:rsid w:val="00F87A79"/>
    <w:rsid w:val="00F93210"/>
    <w:rsid w:val="00FB4389"/>
    <w:rsid w:val="00FE11C8"/>
    <w:rsid w:val="00FE3A89"/>
    <w:rsid w:val="00FF6AA8"/>
    <w:rsid w:val="4F5799F3"/>
    <w:rsid w:val="529B8079"/>
    <w:rsid w:val="53F3CFE1"/>
    <w:rsid w:val="553F7CE2"/>
    <w:rsid w:val="5C7F3523"/>
    <w:rsid w:val="67AE6CA4"/>
    <w:rsid w:val="6FE98D56"/>
    <w:rsid w:val="7DD76AA6"/>
    <w:rsid w:val="7E759A90"/>
    <w:rsid w:val="7EFE5EA7"/>
    <w:rsid w:val="BBFFC9C7"/>
    <w:rsid w:val="D3E79B78"/>
    <w:rsid w:val="D6E2FFC3"/>
    <w:rsid w:val="DFFB1556"/>
    <w:rsid w:val="DFFF3B94"/>
    <w:rsid w:val="E7FE05DA"/>
    <w:rsid w:val="EFBB1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b/>
      <w:bCs/>
      <w:kern w:val="44"/>
      <w:sz w:val="44"/>
      <w:szCs w:val="4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3417</Words>
  <Characters>298</Characters>
  <Lines>2</Lines>
  <Paragraphs>7</Paragraphs>
  <TotalTime>1164</TotalTime>
  <ScaleCrop>false</ScaleCrop>
  <LinksUpToDate>false</LinksUpToDate>
  <CharactersWithSpaces>3708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2022-06-23T15:24:00Z</dcterms:created>
  <dc:creator>user</dc:creator>
  <cp:lastModifiedBy>xmadmini</cp:lastModifiedBy>
  <cp:lastPrinted>2022-03-12T01:24:00Z</cp:lastPrinted>
  <dcterms:modified xsi:type="dcterms:W3CDTF">2024-09-30T15:37:20Z</dcterms:modified>
  <dc:title>厦门市城市管理行政执法部门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