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宋体"/>
          <w:b/>
          <w:bCs/>
          <w:color w:val="000000"/>
          <w:highlight w:val="none"/>
        </w:rPr>
      </w:pPr>
      <w:r>
        <w:rPr>
          <w:rFonts w:hint="eastAsia" w:ascii="方正小标宋简体" w:hAnsi="宋体" w:eastAsia="方正小标宋简体" w:cs="方正小标宋简体"/>
          <w:color w:val="000000"/>
          <w:sz w:val="36"/>
          <w:szCs w:val="36"/>
          <w:highlight w:val="none"/>
          <w:lang w:val="en-US" w:eastAsia="zh-CN"/>
        </w:rPr>
        <w:t xml:space="preserve"> </w:t>
      </w:r>
      <w:r>
        <w:rPr>
          <w:rFonts w:hint="eastAsia" w:ascii="方正小标宋简体" w:hAnsi="宋体" w:eastAsia="方正小标宋简体" w:cs="方正小标宋简体"/>
          <w:color w:val="000000"/>
          <w:sz w:val="36"/>
          <w:szCs w:val="36"/>
          <w:highlight w:val="none"/>
        </w:rPr>
        <w:t>《厦门市城乡规划条例》</w:t>
      </w:r>
      <w:r>
        <w:rPr>
          <w:rFonts w:ascii="方正小标宋简体" w:hAnsi="宋体" w:eastAsia="方正小标宋简体" w:cs="方正小标宋简体"/>
          <w:color w:val="000000"/>
          <w:sz w:val="36"/>
          <w:szCs w:val="36"/>
          <w:highlight w:val="none"/>
        </w:rPr>
        <w:t xml:space="preserve"> </w:t>
      </w:r>
      <w:r>
        <w:rPr>
          <w:rFonts w:hint="eastAsia" w:ascii="方正小标宋简体" w:hAnsi="宋体" w:eastAsia="方正小标宋简体" w:cs="方正小标宋简体"/>
          <w:color w:val="000000"/>
          <w:sz w:val="36"/>
          <w:szCs w:val="36"/>
          <w:highlight w:val="none"/>
        </w:rPr>
        <w:t>（</w:t>
      </w:r>
      <w:r>
        <w:rPr>
          <w:rFonts w:ascii="方正小标宋简体" w:hAnsi="宋体" w:eastAsia="方正小标宋简体" w:cs="方正小标宋简体"/>
          <w:color w:val="000000"/>
          <w:sz w:val="36"/>
          <w:szCs w:val="36"/>
          <w:highlight w:val="none"/>
        </w:rPr>
        <w:t>2013</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7</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1</w:t>
      </w:r>
      <w:r>
        <w:rPr>
          <w:rFonts w:hint="eastAsia" w:ascii="方正小标宋简体" w:hAnsi="宋体" w:eastAsia="方正小标宋简体" w:cs="方正小标宋简体"/>
          <w:color w:val="000000"/>
          <w:sz w:val="36"/>
          <w:szCs w:val="36"/>
          <w:highlight w:val="none"/>
        </w:rPr>
        <w:t>日起施行，202</w:t>
      </w:r>
      <w:r>
        <w:rPr>
          <w:rFonts w:hint="eastAsia" w:ascii="方正小标宋简体" w:hAnsi="宋体" w:eastAsia="方正小标宋简体" w:cs="方正小标宋简体"/>
          <w:color w:val="000000"/>
          <w:sz w:val="36"/>
          <w:szCs w:val="36"/>
          <w:highlight w:val="none"/>
          <w:lang w:val="en-US" w:eastAsia="zh-CN"/>
        </w:rPr>
        <w:t>4</w:t>
      </w:r>
      <w:r>
        <w:rPr>
          <w:rFonts w:hint="eastAsia" w:ascii="方正小标宋简体" w:hAnsi="宋体" w:eastAsia="方正小标宋简体" w:cs="方正小标宋简体"/>
          <w:color w:val="000000"/>
          <w:sz w:val="36"/>
          <w:szCs w:val="36"/>
          <w:highlight w:val="none"/>
        </w:rPr>
        <w:t>年修改裁量权基准）</w:t>
      </w:r>
    </w:p>
    <w:tbl>
      <w:tblPr>
        <w:tblStyle w:val="10"/>
        <w:tblW w:w="14742" w:type="dxa"/>
        <w:jc w:val="center"/>
        <w:tblLayout w:type="fixed"/>
        <w:tblCellMar>
          <w:top w:w="0" w:type="dxa"/>
          <w:left w:w="108" w:type="dxa"/>
          <w:bottom w:w="0" w:type="dxa"/>
          <w:right w:w="108" w:type="dxa"/>
        </w:tblCellMar>
      </w:tblPr>
      <w:tblGrid>
        <w:gridCol w:w="653"/>
        <w:gridCol w:w="1216"/>
        <w:gridCol w:w="5286"/>
        <w:gridCol w:w="2379"/>
        <w:gridCol w:w="862"/>
        <w:gridCol w:w="1725"/>
        <w:gridCol w:w="1575"/>
        <w:gridCol w:w="1046"/>
      </w:tblGrid>
      <w:tr>
        <w:tblPrEx>
          <w:tblCellMar>
            <w:top w:w="0" w:type="dxa"/>
            <w:left w:w="108" w:type="dxa"/>
            <w:bottom w:w="0" w:type="dxa"/>
            <w:right w:w="108" w:type="dxa"/>
          </w:tblCellMar>
        </w:tblPrEx>
        <w:trPr>
          <w:tblHeader/>
          <w:jc w:val="center"/>
        </w:trPr>
        <w:tc>
          <w:tcPr>
            <w:tcW w:w="65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序号</w:t>
            </w:r>
          </w:p>
        </w:tc>
        <w:tc>
          <w:tcPr>
            <w:tcW w:w="12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违法行为</w:t>
            </w:r>
          </w:p>
        </w:tc>
        <w:tc>
          <w:tcPr>
            <w:tcW w:w="52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定案依据</w:t>
            </w:r>
          </w:p>
        </w:tc>
        <w:tc>
          <w:tcPr>
            <w:tcW w:w="237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处罚依据</w:t>
            </w:r>
          </w:p>
        </w:tc>
        <w:tc>
          <w:tcPr>
            <w:tcW w:w="2587" w:type="dxa"/>
            <w:gridSpan w:val="2"/>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违法情节</w:t>
            </w:r>
          </w:p>
        </w:tc>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auto"/>
                <w:kern w:val="0"/>
                <w:highlight w:val="none"/>
              </w:rPr>
            </w:pPr>
            <w:r>
              <w:rPr>
                <w:rFonts w:hint="eastAsia" w:ascii="宋体" w:hAnsi="宋体" w:cs="宋体"/>
                <w:b/>
                <w:bCs/>
                <w:color w:val="auto"/>
                <w:kern w:val="0"/>
                <w:highlight w:val="none"/>
              </w:rPr>
              <w:t>处罚标准</w:t>
            </w:r>
          </w:p>
        </w:tc>
        <w:tc>
          <w:tcPr>
            <w:tcW w:w="10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备注</w:t>
            </w:r>
          </w:p>
        </w:tc>
      </w:tr>
      <w:tr>
        <w:tblPrEx>
          <w:tblCellMar>
            <w:top w:w="0" w:type="dxa"/>
            <w:left w:w="108" w:type="dxa"/>
            <w:bottom w:w="0" w:type="dxa"/>
            <w:right w:w="108" w:type="dxa"/>
          </w:tblCellMar>
        </w:tblPrEx>
        <w:trPr>
          <w:tblHeader/>
          <w:jc w:val="center"/>
        </w:trPr>
        <w:tc>
          <w:tcPr>
            <w:tcW w:w="6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情节</w:t>
            </w:r>
          </w:p>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分类</w:t>
            </w:r>
          </w:p>
        </w:tc>
        <w:tc>
          <w:tcPr>
            <w:tcW w:w="1725"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违法情节的详细</w:t>
            </w:r>
          </w:p>
          <w:p>
            <w:pPr>
              <w:widowControl/>
              <w:spacing w:line="320" w:lineRule="exact"/>
              <w:jc w:val="center"/>
              <w:rPr>
                <w:rFonts w:ascii="宋体"/>
                <w:b/>
                <w:bCs/>
                <w:color w:val="auto"/>
                <w:kern w:val="0"/>
                <w:highlight w:val="none"/>
              </w:rPr>
            </w:pPr>
            <w:r>
              <w:rPr>
                <w:rFonts w:hint="eastAsia" w:ascii="宋体" w:hAnsi="宋体" w:cs="宋体"/>
                <w:b/>
                <w:bCs/>
                <w:color w:val="auto"/>
                <w:kern w:val="0"/>
                <w:highlight w:val="none"/>
              </w:rPr>
              <w:t>的描述</w:t>
            </w:r>
          </w:p>
        </w:tc>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0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trHeight w:val="1510" w:hRule="atLeast"/>
          <w:jc w:val="center"/>
        </w:trPr>
        <w:tc>
          <w:tcPr>
            <w:tcW w:w="653" w:type="dxa"/>
            <w:vMerge w:val="restart"/>
            <w:tcBorders>
              <w:top w:val="nil"/>
              <w:left w:val="single" w:color="auto" w:sz="4" w:space="0"/>
              <w:right w:val="single" w:color="auto" w:sz="4" w:space="0"/>
            </w:tcBorders>
            <w:vAlign w:val="center"/>
          </w:tcPr>
          <w:p>
            <w:pPr>
              <w:spacing w:line="320" w:lineRule="exact"/>
              <w:jc w:val="center"/>
              <w:rPr>
                <w:rFonts w:ascii="宋体" w:hAnsi="宋体" w:cs="宋体"/>
                <w:color w:val="auto"/>
                <w:kern w:val="0"/>
                <w:highlight w:val="none"/>
              </w:rPr>
            </w:pPr>
            <w:r>
              <w:rPr>
                <w:rFonts w:ascii="宋体" w:hAnsi="宋体" w:cs="宋体"/>
                <w:color w:val="auto"/>
                <w:kern w:val="0"/>
                <w:highlight w:val="none"/>
              </w:rPr>
              <w:t>1</w:t>
            </w:r>
          </w:p>
        </w:tc>
        <w:tc>
          <w:tcPr>
            <w:tcW w:w="1216" w:type="dxa"/>
            <w:vMerge w:val="restart"/>
            <w:tcBorders>
              <w:top w:val="nil"/>
              <w:left w:val="nil"/>
              <w:right w:val="single" w:color="auto" w:sz="4" w:space="0"/>
            </w:tcBorders>
            <w:vAlign w:val="center"/>
          </w:tcPr>
          <w:p>
            <w:pPr>
              <w:spacing w:line="320" w:lineRule="exact"/>
              <w:jc w:val="left"/>
              <w:rPr>
                <w:rFonts w:ascii="宋体" w:hAnsi="宋体" w:cs="宋体"/>
                <w:color w:val="auto"/>
                <w:kern w:val="0"/>
                <w:highlight w:val="none"/>
              </w:rPr>
            </w:pPr>
            <w:r>
              <w:rPr>
                <w:rFonts w:hint="eastAsia" w:ascii="宋体" w:hAnsi="宋体" w:cs="宋体"/>
                <w:color w:val="auto"/>
                <w:kern w:val="0"/>
                <w:highlight w:val="none"/>
              </w:rPr>
              <w:t>未取得建设工程规划许可证或者乡村建设规划许可证进行建设的（可以拆除的）</w:t>
            </w:r>
          </w:p>
        </w:tc>
        <w:tc>
          <w:tcPr>
            <w:tcW w:w="5286" w:type="dxa"/>
            <w:vMerge w:val="restart"/>
            <w:tcBorders>
              <w:top w:val="nil"/>
              <w:left w:val="nil"/>
              <w:right w:val="single" w:color="auto" w:sz="4" w:space="0"/>
            </w:tcBorders>
            <w:vAlign w:val="center"/>
          </w:tcPr>
          <w:p>
            <w:pPr>
              <w:widowControl/>
              <w:spacing w:line="320" w:lineRule="exact"/>
              <w:jc w:val="left"/>
              <w:rPr>
                <w:rFonts w:ascii="宋体"/>
                <w:color w:val="auto"/>
                <w:kern w:val="0"/>
                <w:highlight w:val="none"/>
              </w:rPr>
            </w:pPr>
            <w:r>
              <w:rPr>
                <w:rFonts w:ascii="宋体" w:hAnsi="宋体" w:cs="宋体"/>
                <w:color w:val="auto"/>
                <w:kern w:val="0"/>
                <w:highlight w:val="none"/>
              </w:rPr>
              <w:t xml:space="preserve"> </w:t>
            </w:r>
            <w:r>
              <w:rPr>
                <w:rFonts w:hint="eastAsia" w:ascii="宋体" w:hAnsi="宋体" w:cs="宋体"/>
                <w:color w:val="auto"/>
                <w:kern w:val="0"/>
                <w:highlight w:val="none"/>
              </w:rPr>
              <w:t>《厦门市城乡规划条例》第二十三条</w:t>
            </w:r>
            <w:r>
              <w:rPr>
                <w:rFonts w:ascii="宋体" w:hAnsi="宋体" w:cs="宋体"/>
                <w:color w:val="auto"/>
                <w:kern w:val="0"/>
                <w:highlight w:val="none"/>
              </w:rPr>
              <w:t xml:space="preserve"> </w:t>
            </w:r>
            <w:r>
              <w:rPr>
                <w:rFonts w:hint="eastAsia" w:ascii="宋体" w:hAnsi="宋体" w:cs="宋体"/>
                <w:color w:val="auto"/>
                <w:kern w:val="0"/>
                <w:highlight w:val="none"/>
              </w:rPr>
              <w:t xml:space="preserve"> 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p>
          <w:p>
            <w:pPr>
              <w:widowControl/>
              <w:spacing w:line="320" w:lineRule="exact"/>
              <w:jc w:val="left"/>
              <w:rPr>
                <w:rFonts w:ascii="宋体"/>
                <w:color w:val="auto"/>
                <w:kern w:val="0"/>
                <w:highlight w:val="none"/>
              </w:rPr>
            </w:pPr>
            <w:r>
              <w:rPr>
                <w:rFonts w:hint="eastAsia" w:ascii="宋体" w:hAnsi="宋体" w:cs="宋体"/>
                <w:color w:val="auto"/>
                <w:kern w:val="0"/>
                <w:highlight w:val="none"/>
              </w:rPr>
              <w:t>第三十条</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建设单位或者个人应当依法向市城乡规划主管部门申请建设工程规划许可证。</w:t>
            </w:r>
            <w:r>
              <w:rPr>
                <w:rFonts w:ascii="宋体" w:hAnsi="宋体" w:cs="宋体"/>
                <w:color w:val="auto"/>
                <w:kern w:val="0"/>
                <w:highlight w:val="none"/>
              </w:rPr>
              <w:t xml:space="preserve">                               </w:t>
            </w:r>
            <w:r>
              <w:rPr>
                <w:rFonts w:hint="eastAsia" w:ascii="宋体" w:hAnsi="宋体" w:cs="宋体"/>
                <w:color w:val="auto"/>
                <w:kern w:val="0"/>
                <w:highlight w:val="none"/>
              </w:rPr>
              <w:t>第三十四条第三款  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pPr>
              <w:spacing w:line="320" w:lineRule="exact"/>
              <w:jc w:val="left"/>
              <w:rPr>
                <w:rFonts w:ascii="宋体" w:hAnsi="宋体" w:cs="宋体"/>
                <w:color w:val="auto"/>
                <w:kern w:val="0"/>
                <w:highlight w:val="none"/>
              </w:rPr>
            </w:pPr>
            <w:r>
              <w:rPr>
                <w:rFonts w:hint="eastAsia" w:ascii="宋体" w:hAnsi="宋体" w:cs="宋体"/>
                <w:color w:val="auto"/>
                <w:kern w:val="0"/>
                <w:highlight w:val="none"/>
              </w:rPr>
              <w:t>第三十五条第三款  建设单位或者个人应当依据规划条件向市城乡规划主管部门提交建设工程设计方案。建设工程设计方案符合村庄规划和规划条件的，市城乡规划主管部门应当自收到建设工程设计方案之日起二十日内核发乡村建设规划许可证。</w:t>
            </w:r>
            <w:r>
              <w:rPr>
                <w:rFonts w:ascii="宋体"/>
                <w:color w:val="auto"/>
                <w:kern w:val="0"/>
                <w:highlight w:val="none"/>
              </w:rPr>
              <w:br w:type="textWrapping"/>
            </w:r>
            <w:r>
              <w:rPr>
                <w:rFonts w:hint="eastAsia" w:ascii="宋体" w:hAnsi="宋体" w:cs="宋体"/>
                <w:color w:val="auto"/>
                <w:kern w:val="0"/>
                <w:highlight w:val="none"/>
              </w:rPr>
              <w:t>第三十五条第四款  在村庄规划区内国有土地上进行建设的，应当按照城市规划区内建设项目规划许可的程序，依据村庄规划办理规划许可手续。</w:t>
            </w:r>
          </w:p>
        </w:tc>
        <w:tc>
          <w:tcPr>
            <w:tcW w:w="2379" w:type="dxa"/>
            <w:vMerge w:val="restart"/>
            <w:tcBorders>
              <w:top w:val="nil"/>
              <w:left w:val="nil"/>
              <w:right w:val="single" w:color="auto" w:sz="4" w:space="0"/>
            </w:tcBorders>
            <w:vAlign w:val="center"/>
          </w:tcPr>
          <w:p>
            <w:pPr>
              <w:spacing w:after="240" w:line="320" w:lineRule="exact"/>
              <w:jc w:val="left"/>
              <w:rPr>
                <w:rFonts w:ascii="宋体" w:hAnsi="宋体" w:cs="宋体"/>
                <w:color w:val="auto"/>
                <w:kern w:val="0"/>
                <w:highlight w:val="none"/>
              </w:rPr>
            </w:pPr>
            <w:r>
              <w:rPr>
                <w:rFonts w:hint="eastAsia" w:ascii="宋体" w:hAnsi="宋体" w:cs="宋体"/>
                <w:color w:val="auto"/>
                <w:kern w:val="0"/>
                <w:highlight w:val="none"/>
              </w:rPr>
              <w:t>《厦门市城乡规划条例》第五十七条第一款  违反本条例规定，未取得建设工程规划许可证或者乡村建设规划许可证进行建设的，由城市管理行政执法部门责令停止建设，限期拆除，不能拆除的，没收实物或者违法收入，可以并处整体建设工程造价百分之五以上百分之十以下的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1725" w:type="dxa"/>
            <w:tcBorders>
              <w:top w:val="nil"/>
              <w:left w:val="nil"/>
              <w:bottom w:val="single" w:color="auto" w:sz="4" w:space="0"/>
              <w:right w:val="single" w:color="auto" w:sz="4" w:space="0"/>
            </w:tcBorders>
            <w:vAlign w:val="center"/>
          </w:tcPr>
          <w:p>
            <w:pPr>
              <w:rPr>
                <w:rFonts w:ascii="宋体" w:hAnsi="宋体" w:cs="宋体"/>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平方米以下的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责令停止建设，限期拆除，可以并处整体建设工程造价百分之五以上百分之六以下的罚款。</w:t>
            </w:r>
          </w:p>
        </w:tc>
        <w:tc>
          <w:tcPr>
            <w:tcW w:w="1046" w:type="dxa"/>
            <w:vMerge w:val="restart"/>
            <w:tcBorders>
              <w:top w:val="nil"/>
              <w:left w:val="nil"/>
              <w:right w:val="single" w:color="auto" w:sz="4" w:space="0"/>
            </w:tcBorders>
            <w:vAlign w:val="center"/>
          </w:tcPr>
          <w:p>
            <w:pPr>
              <w:spacing w:line="320" w:lineRule="exact"/>
              <w:jc w:val="center"/>
              <w:rPr>
                <w:rFonts w:ascii="宋体" w:hAnsi="宋体" w:cs="宋体"/>
                <w:color w:val="auto"/>
                <w:kern w:val="0"/>
                <w:highlight w:val="none"/>
              </w:rPr>
            </w:pPr>
            <w:r>
              <w:rPr>
                <w:rFonts w:hint="eastAsia" w:ascii="宋体" w:hAnsi="宋体" w:cs="宋体"/>
                <w:color w:val="auto"/>
                <w:kern w:val="0"/>
                <w:highlight w:val="none"/>
              </w:rPr>
              <w:t>在城市管理行政执法部门</w:t>
            </w:r>
            <w:r>
              <w:rPr>
                <w:rFonts w:hint="eastAsia" w:ascii="宋体" w:hAnsi="宋体" w:cs="宋体"/>
                <w:color w:val="auto"/>
                <w:kern w:val="0"/>
                <w:highlight w:val="none"/>
                <w:lang w:eastAsia="zh-CN"/>
              </w:rPr>
              <w:t>作出</w:t>
            </w:r>
            <w:r>
              <w:rPr>
                <w:rFonts w:hint="eastAsia" w:ascii="宋体" w:hAnsi="宋体" w:cs="宋体"/>
                <w:color w:val="auto"/>
                <w:kern w:val="0"/>
                <w:highlight w:val="none"/>
              </w:rPr>
              <w:t>行政处罚决定之前,当事人自行</w:t>
            </w:r>
            <w:r>
              <w:rPr>
                <w:rFonts w:hint="eastAsia" w:ascii="宋体" w:hAnsi="宋体" w:cs="宋体"/>
                <w:color w:val="auto"/>
                <w:kern w:val="0"/>
                <w:highlight w:val="none"/>
                <w:lang w:eastAsia="zh-CN"/>
              </w:rPr>
              <w:t>拆除案涉违法建筑的</w:t>
            </w:r>
            <w:r>
              <w:rPr>
                <w:rFonts w:hint="eastAsia" w:ascii="宋体" w:hAnsi="宋体" w:cs="宋体"/>
                <w:color w:val="auto"/>
                <w:kern w:val="0"/>
                <w:highlight w:val="none"/>
              </w:rPr>
              <w:t>，可以免予处罚。</w:t>
            </w:r>
          </w:p>
        </w:tc>
      </w:tr>
      <w:tr>
        <w:tblPrEx>
          <w:tblCellMar>
            <w:top w:w="0" w:type="dxa"/>
            <w:left w:w="108" w:type="dxa"/>
            <w:bottom w:w="0" w:type="dxa"/>
            <w:right w:w="108" w:type="dxa"/>
          </w:tblCellMar>
        </w:tblPrEx>
        <w:trPr>
          <w:trHeight w:val="1833" w:hRule="atLeast"/>
          <w:jc w:val="center"/>
        </w:trPr>
        <w:tc>
          <w:tcPr>
            <w:tcW w:w="653" w:type="dxa"/>
            <w:vMerge w:val="continue"/>
            <w:tcBorders>
              <w:left w:val="single" w:color="auto" w:sz="4" w:space="0"/>
              <w:right w:val="single" w:color="auto" w:sz="4" w:space="0"/>
            </w:tcBorders>
            <w:vAlign w:val="center"/>
          </w:tcPr>
          <w:p>
            <w:pPr>
              <w:spacing w:line="320" w:lineRule="exact"/>
              <w:jc w:val="center"/>
              <w:rPr>
                <w:rFonts w:ascii="宋体" w:hAnsi="宋体" w:cs="宋体"/>
                <w:color w:val="auto"/>
                <w:kern w:val="0"/>
                <w:highlight w:val="none"/>
              </w:rPr>
            </w:pPr>
          </w:p>
        </w:tc>
        <w:tc>
          <w:tcPr>
            <w:tcW w:w="1216" w:type="dxa"/>
            <w:vMerge w:val="continue"/>
            <w:tcBorders>
              <w:left w:val="nil"/>
              <w:right w:val="single" w:color="auto" w:sz="4" w:space="0"/>
            </w:tcBorders>
            <w:vAlign w:val="center"/>
          </w:tcPr>
          <w:p>
            <w:pPr>
              <w:spacing w:line="320" w:lineRule="exact"/>
              <w:jc w:val="left"/>
              <w:rPr>
                <w:rFonts w:ascii="宋体" w:hAnsi="宋体" w:cs="宋体"/>
                <w:color w:val="auto"/>
                <w:kern w:val="0"/>
                <w:highlight w:val="none"/>
              </w:rPr>
            </w:pPr>
          </w:p>
        </w:tc>
        <w:tc>
          <w:tcPr>
            <w:tcW w:w="5286" w:type="dxa"/>
            <w:vMerge w:val="continue"/>
            <w:tcBorders>
              <w:left w:val="nil"/>
              <w:right w:val="single" w:color="auto" w:sz="4" w:space="0"/>
            </w:tcBorders>
            <w:vAlign w:val="center"/>
          </w:tcPr>
          <w:p>
            <w:pPr>
              <w:spacing w:line="320" w:lineRule="exact"/>
              <w:jc w:val="left"/>
              <w:rPr>
                <w:rFonts w:ascii="宋体" w:hAnsi="宋体" w:cs="宋体"/>
                <w:color w:val="auto"/>
                <w:kern w:val="0"/>
                <w:highlight w:val="none"/>
              </w:rPr>
            </w:pPr>
          </w:p>
        </w:tc>
        <w:tc>
          <w:tcPr>
            <w:tcW w:w="2379" w:type="dxa"/>
            <w:vMerge w:val="continue"/>
            <w:tcBorders>
              <w:left w:val="nil"/>
              <w:right w:val="single" w:color="auto" w:sz="4" w:space="0"/>
            </w:tcBorders>
            <w:vAlign w:val="center"/>
          </w:tcPr>
          <w:p>
            <w:pPr>
              <w:spacing w:after="240" w:line="320" w:lineRule="exact"/>
              <w:jc w:val="left"/>
              <w:rPr>
                <w:rFonts w:ascii="宋体" w:hAnsi="宋体" w:cs="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一般</w:t>
            </w:r>
          </w:p>
        </w:tc>
        <w:tc>
          <w:tcPr>
            <w:tcW w:w="1725" w:type="dxa"/>
            <w:tcBorders>
              <w:top w:val="nil"/>
              <w:left w:val="nil"/>
              <w:bottom w:val="single" w:color="auto" w:sz="4" w:space="0"/>
              <w:right w:val="single" w:color="auto" w:sz="4" w:space="0"/>
            </w:tcBorders>
            <w:vAlign w:val="center"/>
          </w:tcPr>
          <w:p>
            <w:pPr>
              <w:rPr>
                <w:rFonts w:ascii="宋体" w:hAnsi="宋体" w:cs="宋体"/>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平方米以上</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平方米以下的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责令停止建设，限期拆除，可以并处整体建设工程造价百分之六以上百分之八以下的罚款。</w:t>
            </w:r>
          </w:p>
        </w:tc>
        <w:tc>
          <w:tcPr>
            <w:tcW w:w="1046" w:type="dxa"/>
            <w:vMerge w:val="continue"/>
            <w:tcBorders>
              <w:left w:val="nil"/>
              <w:right w:val="single" w:color="auto" w:sz="4" w:space="0"/>
            </w:tcBorders>
            <w:vAlign w:val="center"/>
          </w:tcPr>
          <w:p>
            <w:pPr>
              <w:spacing w:line="320" w:lineRule="exact"/>
              <w:jc w:val="center"/>
              <w:rPr>
                <w:rFonts w:ascii="宋体" w:hAnsi="宋体" w:cs="宋体"/>
                <w:color w:val="auto"/>
                <w:kern w:val="0"/>
                <w:highlight w:val="none"/>
              </w:rPr>
            </w:pPr>
          </w:p>
        </w:tc>
      </w:tr>
      <w:tr>
        <w:tblPrEx>
          <w:tblCellMar>
            <w:top w:w="0" w:type="dxa"/>
            <w:left w:w="108" w:type="dxa"/>
            <w:bottom w:w="0" w:type="dxa"/>
            <w:right w:w="108" w:type="dxa"/>
          </w:tblCellMar>
        </w:tblPrEx>
        <w:trPr>
          <w:jc w:val="center"/>
        </w:trPr>
        <w:tc>
          <w:tcPr>
            <w:tcW w:w="653" w:type="dxa"/>
            <w:vMerge w:val="continue"/>
            <w:tcBorders>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c>
          <w:tcPr>
            <w:tcW w:w="1216" w:type="dxa"/>
            <w:vMerge w:val="continue"/>
            <w:tcBorders>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left w:val="nil"/>
              <w:bottom w:val="single" w:color="auto" w:sz="4" w:space="0"/>
              <w:right w:val="single" w:color="auto" w:sz="4" w:space="0"/>
            </w:tcBorders>
            <w:vAlign w:val="center"/>
          </w:tcPr>
          <w:p>
            <w:pPr>
              <w:widowControl/>
              <w:spacing w:after="240"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　</w:t>
            </w:r>
          </w:p>
        </w:tc>
        <w:tc>
          <w:tcPr>
            <w:tcW w:w="1725" w:type="dxa"/>
            <w:tcBorders>
              <w:top w:val="nil"/>
              <w:left w:val="nil"/>
              <w:bottom w:val="single" w:color="auto" w:sz="4" w:space="0"/>
              <w:right w:val="single" w:color="auto" w:sz="4" w:space="0"/>
            </w:tcBorders>
            <w:vAlign w:val="center"/>
          </w:tcPr>
          <w:p>
            <w:pPr>
              <w:widowControl w:val="0"/>
              <w:spacing w:line="240" w:lineRule="auto"/>
              <w:jc w:val="both"/>
              <w:rPr>
                <w:rFonts w:ascii="宋体"/>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平方米以上的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责令停止建设，限期拆除，并处整体建设工程造价百分之八以上百分之十以下的罚款。</w:t>
            </w:r>
          </w:p>
        </w:tc>
        <w:tc>
          <w:tcPr>
            <w:tcW w:w="1046" w:type="dxa"/>
            <w:vMerge w:val="continue"/>
            <w:tcBorders>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r>
      <w:tr>
        <w:tblPrEx>
          <w:tblCellMar>
            <w:top w:w="0" w:type="dxa"/>
            <w:left w:w="108" w:type="dxa"/>
            <w:bottom w:w="0" w:type="dxa"/>
            <w:right w:w="108" w:type="dxa"/>
          </w:tblCellMar>
        </w:tblPrEx>
        <w:trPr>
          <w:jc w:val="center"/>
        </w:trPr>
        <w:tc>
          <w:tcPr>
            <w:tcW w:w="65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2</w:t>
            </w:r>
          </w:p>
        </w:tc>
        <w:tc>
          <w:tcPr>
            <w:tcW w:w="121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未取得建设工程规划许可证或者乡村建设规划许可证进行建设的（不能拆除的）</w:t>
            </w:r>
          </w:p>
        </w:tc>
        <w:tc>
          <w:tcPr>
            <w:tcW w:w="52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《厦门市城乡规划条例》第二十三条  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r>
              <w:rPr>
                <w:rFonts w:ascii="宋体" w:hAnsi="宋体" w:cs="宋体"/>
                <w:color w:val="auto"/>
                <w:kern w:val="0"/>
                <w:highlight w:val="none"/>
              </w:rPr>
              <w:t xml:space="preserve">           </w:t>
            </w:r>
          </w:p>
          <w:p>
            <w:pPr>
              <w:widowControl/>
              <w:spacing w:line="320" w:lineRule="exact"/>
              <w:jc w:val="left"/>
              <w:rPr>
                <w:rFonts w:ascii="宋体"/>
                <w:color w:val="auto"/>
                <w:kern w:val="0"/>
                <w:highlight w:val="none"/>
              </w:rPr>
            </w:pPr>
            <w:r>
              <w:rPr>
                <w:rFonts w:hint="eastAsia" w:ascii="宋体" w:hAnsi="宋体" w:cs="宋体"/>
                <w:color w:val="auto"/>
                <w:kern w:val="0"/>
                <w:highlight w:val="none"/>
              </w:rPr>
              <w:t>第三十条</w:t>
            </w:r>
            <w:r>
              <w:rPr>
                <w:rFonts w:hint="eastAsia" w:ascii="宋体" w:hAnsi="宋体" w:cs="宋体"/>
                <w:color w:val="auto"/>
                <w:kern w:val="0"/>
                <w:highlight w:val="none"/>
                <w:lang w:val="en-US" w:eastAsia="zh-CN"/>
              </w:rPr>
              <w:t xml:space="preserve"> </w:t>
            </w:r>
            <w:r>
              <w:rPr>
                <w:rFonts w:hint="eastAsia" w:ascii="宋体" w:hAnsi="宋体" w:cs="宋体"/>
                <w:color w:val="auto"/>
                <w:kern w:val="0"/>
                <w:highlight w:val="none"/>
              </w:rPr>
              <w:t>建设单位或者个人应当依法向市城乡规划主管部门申请建设工程规划许可证。</w:t>
            </w:r>
            <w:r>
              <w:rPr>
                <w:rFonts w:ascii="宋体" w:hAnsi="宋体" w:cs="宋体"/>
                <w:color w:val="auto"/>
                <w:kern w:val="0"/>
                <w:highlight w:val="none"/>
              </w:rPr>
              <w:t xml:space="preserve">                         </w:t>
            </w:r>
          </w:p>
          <w:p>
            <w:pPr>
              <w:widowControl/>
              <w:spacing w:line="320" w:lineRule="exact"/>
              <w:jc w:val="left"/>
              <w:rPr>
                <w:rFonts w:ascii="宋体"/>
                <w:color w:val="auto"/>
                <w:kern w:val="0"/>
                <w:highlight w:val="none"/>
              </w:rPr>
            </w:pPr>
            <w:r>
              <w:rPr>
                <w:rFonts w:hint="eastAsia" w:ascii="宋体" w:hAnsi="宋体" w:cs="宋体"/>
                <w:color w:val="auto"/>
                <w:kern w:val="0"/>
                <w:highlight w:val="none"/>
              </w:rPr>
              <w:t>第三十四条第三款  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pPr>
              <w:widowControl/>
              <w:spacing w:line="320" w:lineRule="exact"/>
              <w:jc w:val="left"/>
              <w:rPr>
                <w:rFonts w:ascii="宋体"/>
                <w:color w:val="auto"/>
                <w:kern w:val="0"/>
                <w:highlight w:val="none"/>
              </w:rPr>
            </w:pPr>
            <w:r>
              <w:rPr>
                <w:rFonts w:hint="eastAsia" w:ascii="宋体" w:hAnsi="宋体" w:cs="宋体"/>
                <w:color w:val="auto"/>
                <w:kern w:val="0"/>
                <w:highlight w:val="none"/>
              </w:rPr>
              <w:t>第三十五条第三款  建设单位或者个人应当依据规划条件向市城乡规划主管部门提交建设工程设计方案。建设工程设计方案符合村庄规划和规划条件的，市城乡规划主管部门应当自收到建设工程设计方案之日起二十日内核发乡村建设规划许可证。</w:t>
            </w:r>
            <w:r>
              <w:rPr>
                <w:rFonts w:ascii="宋体"/>
                <w:color w:val="auto"/>
                <w:kern w:val="0"/>
                <w:highlight w:val="none"/>
              </w:rPr>
              <w:br w:type="textWrapping"/>
            </w:r>
            <w:r>
              <w:rPr>
                <w:rFonts w:hint="eastAsia" w:ascii="宋体" w:hAnsi="宋体" w:cs="宋体"/>
                <w:color w:val="auto"/>
                <w:kern w:val="0"/>
                <w:highlight w:val="none"/>
              </w:rPr>
              <w:t>第三十五条第四款  在村庄规划区内国有土地上进行建设的，应当按照城市规划区内建设项目规划许可的程序，依据村庄规划办理规划许可手续。</w:t>
            </w:r>
          </w:p>
        </w:tc>
        <w:tc>
          <w:tcPr>
            <w:tcW w:w="237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《厦门市城乡规划条例》第五十七条第一款  违反本条例规定，未取得建设工程规划许可证或者乡村建设规划许可证进行建设的，由城市管理行政执法部门责令停止建设，限期拆除，不能拆除的，没收实物或者违法收入，可以并处整体建设工程造价百分之五以上百分之十以下的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轻微</w:t>
            </w:r>
          </w:p>
        </w:tc>
        <w:tc>
          <w:tcPr>
            <w:tcW w:w="172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平方米以下的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责令停止建设，没收实物或违法收入，可以并处整体建设工程造价百分之五以上百分之六以下的罚款。</w:t>
            </w:r>
          </w:p>
        </w:tc>
        <w:tc>
          <w:tcPr>
            <w:tcW w:w="1046" w:type="dxa"/>
            <w:vMerge w:val="restart"/>
            <w:tcBorders>
              <w:top w:val="nil"/>
              <w:left w:val="nil"/>
              <w:right w:val="single" w:color="auto" w:sz="4" w:space="0"/>
            </w:tcBorders>
            <w:vAlign w:val="center"/>
          </w:tcPr>
          <w:p>
            <w:pPr>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一般</w:t>
            </w:r>
          </w:p>
        </w:tc>
        <w:tc>
          <w:tcPr>
            <w:tcW w:w="172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平方米以上</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平方米以下的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责令停止建设，没收实物或违法收入，可以并处整体建设工程造价百分之六以上百分之八以下的罚款。</w:t>
            </w:r>
          </w:p>
        </w:tc>
        <w:tc>
          <w:tcPr>
            <w:tcW w:w="1046" w:type="dxa"/>
            <w:vMerge w:val="continue"/>
            <w:tcBorders>
              <w:left w:val="nil"/>
              <w:right w:val="single" w:color="auto" w:sz="4" w:space="0"/>
            </w:tcBorders>
            <w:vAlign w:val="center"/>
          </w:tcPr>
          <w:p>
            <w:pPr>
              <w:spacing w:line="320" w:lineRule="exact"/>
              <w:jc w:val="left"/>
              <w:rPr>
                <w:rFonts w:ascii="宋体"/>
                <w:color w:val="auto"/>
                <w:kern w:val="0"/>
                <w:highlight w:val="none"/>
              </w:rPr>
            </w:pPr>
          </w:p>
        </w:tc>
      </w:tr>
      <w:tr>
        <w:tblPrEx>
          <w:tblCellMar>
            <w:top w:w="0" w:type="dxa"/>
            <w:left w:w="108" w:type="dxa"/>
            <w:bottom w:w="0" w:type="dxa"/>
            <w:right w:w="108" w:type="dxa"/>
          </w:tblCellMar>
        </w:tblPrEx>
        <w:trPr>
          <w:trHeight w:val="3547"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严重　</w:t>
            </w:r>
          </w:p>
        </w:tc>
        <w:tc>
          <w:tcPr>
            <w:tcW w:w="172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平方米以上的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s="Times New Roman"/>
                <w:color w:val="auto"/>
                <w:kern w:val="0"/>
                <w:highlight w:val="none"/>
              </w:rPr>
            </w:pPr>
            <w:r>
              <w:rPr>
                <w:rFonts w:hint="eastAsia" w:ascii="宋体" w:hAnsi="宋体" w:cs="宋体"/>
                <w:color w:val="auto"/>
                <w:kern w:val="0"/>
                <w:highlight w:val="none"/>
              </w:rPr>
              <w:t>责令停止建设，没收实物或违法收入，并处整体建设工程造价百分之八以上百分之十以下的罚款。</w:t>
            </w:r>
          </w:p>
        </w:tc>
        <w:tc>
          <w:tcPr>
            <w:tcW w:w="1046" w:type="dxa"/>
            <w:vMerge w:val="continue"/>
            <w:tcBorders>
              <w:left w:val="nil"/>
              <w:bottom w:val="single" w:color="auto" w:sz="4" w:space="0"/>
              <w:right w:val="single" w:color="auto" w:sz="4" w:space="0"/>
            </w:tcBorders>
            <w:noWrap/>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653"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3</w:t>
            </w:r>
          </w:p>
        </w:tc>
        <w:tc>
          <w:tcPr>
            <w:tcW w:w="121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已取得批准的建设工程设计方案但未办理建设工程规划许可证的</w:t>
            </w:r>
          </w:p>
        </w:tc>
        <w:tc>
          <w:tcPr>
            <w:tcW w:w="5286" w:type="dxa"/>
            <w:tcBorders>
              <w:top w:val="nil"/>
              <w:left w:val="nil"/>
              <w:bottom w:val="single" w:color="auto" w:sz="4" w:space="0"/>
              <w:right w:val="single" w:color="auto" w:sz="4" w:space="0"/>
            </w:tcBorders>
            <w:vAlign w:val="center"/>
          </w:tcPr>
          <w:p>
            <w:pPr>
              <w:widowControl/>
              <w:spacing w:line="340" w:lineRule="exact"/>
              <w:jc w:val="left"/>
              <w:rPr>
                <w:rFonts w:ascii="宋体"/>
                <w:color w:val="auto"/>
                <w:kern w:val="0"/>
                <w:highlight w:val="none"/>
              </w:rPr>
            </w:pPr>
            <w:r>
              <w:rPr>
                <w:rFonts w:hint="eastAsia" w:ascii="宋体" w:hAnsi="宋体" w:cs="宋体"/>
                <w:color w:val="auto"/>
                <w:kern w:val="0"/>
                <w:highlight w:val="none"/>
              </w:rPr>
              <w:t>《厦门市城乡规划条例》第二十三条 各项建设用地和建设工程，应当符合城乡规划和规划管理的技术规定，依法取得相应规划许可后方可进行建设。规划许可包括选址意见书、建设用地规划许可证、建设工程规划许可证、乡村建设规划许可证和相应的临时工程规划许可证。</w:t>
            </w:r>
            <w:r>
              <w:rPr>
                <w:rFonts w:ascii="宋体" w:hAnsi="宋体" w:cs="宋体"/>
                <w:color w:val="auto"/>
                <w:kern w:val="0"/>
                <w:highlight w:val="none"/>
              </w:rPr>
              <w:t xml:space="preserve">           </w:t>
            </w:r>
          </w:p>
          <w:p>
            <w:pPr>
              <w:widowControl/>
              <w:spacing w:line="340" w:lineRule="exact"/>
              <w:jc w:val="left"/>
              <w:rPr>
                <w:rFonts w:ascii="宋体"/>
                <w:color w:val="auto"/>
                <w:kern w:val="0"/>
                <w:highlight w:val="none"/>
              </w:rPr>
            </w:pPr>
            <w:r>
              <w:rPr>
                <w:rFonts w:hint="eastAsia" w:ascii="宋体" w:hAnsi="宋体" w:cs="宋体"/>
                <w:color w:val="auto"/>
                <w:kern w:val="0"/>
                <w:highlight w:val="none"/>
              </w:rPr>
              <w:t>第三十条</w:t>
            </w:r>
            <w:r>
              <w:rPr>
                <w:rFonts w:hint="eastAsia" w:ascii="宋体" w:hAnsi="宋体" w:cs="宋体"/>
                <w:color w:val="auto"/>
                <w:kern w:val="0"/>
                <w:highlight w:val="none"/>
                <w:lang w:val="en-US" w:eastAsia="zh-CN"/>
              </w:rPr>
              <w:t xml:space="preserve"> </w:t>
            </w:r>
            <w:bookmarkStart w:id="0" w:name="_GoBack"/>
            <w:bookmarkEnd w:id="0"/>
            <w:r>
              <w:rPr>
                <w:rFonts w:hint="eastAsia" w:ascii="宋体" w:hAnsi="宋体" w:cs="宋体"/>
                <w:color w:val="auto"/>
                <w:kern w:val="0"/>
                <w:highlight w:val="none"/>
              </w:rPr>
              <w:t>建设单位或者个人应当依法向市城乡规划主管部门申请建设工程规划许可证。</w:t>
            </w:r>
            <w:r>
              <w:rPr>
                <w:rFonts w:ascii="宋体" w:hAnsi="宋体" w:cs="宋体"/>
                <w:color w:val="auto"/>
                <w:kern w:val="0"/>
                <w:highlight w:val="none"/>
              </w:rPr>
              <w:t xml:space="preserve">                         </w:t>
            </w:r>
          </w:p>
          <w:p>
            <w:pPr>
              <w:widowControl/>
              <w:spacing w:line="340" w:lineRule="exact"/>
              <w:jc w:val="left"/>
              <w:rPr>
                <w:rFonts w:ascii="宋体"/>
                <w:color w:val="auto"/>
                <w:kern w:val="0"/>
                <w:highlight w:val="none"/>
              </w:rPr>
            </w:pPr>
            <w:r>
              <w:rPr>
                <w:rFonts w:hint="eastAsia" w:ascii="宋体" w:hAnsi="宋体" w:cs="宋体"/>
                <w:color w:val="auto"/>
                <w:kern w:val="0"/>
                <w:highlight w:val="none"/>
              </w:rPr>
              <w:t>第三十四条第三款 使用原有宅基地建设的住宅项目规划许可，按照有关规定办理。其他的住宅建设项目，镇人民政府、街道办事处应当自受理申请之日起二十日内进行审查；符合规定要求的，由镇人民政府、街道办事处报送市城乡规划主管部门。市城乡规划主管部门应当自收到报送材料之日起十日内核发乡村建设规划许可证。</w:t>
            </w:r>
          </w:p>
          <w:p>
            <w:pPr>
              <w:widowControl/>
              <w:spacing w:line="340" w:lineRule="exact"/>
              <w:jc w:val="left"/>
              <w:rPr>
                <w:rFonts w:ascii="宋体" w:hAnsi="宋体" w:cs="宋体"/>
                <w:color w:val="auto"/>
                <w:kern w:val="0"/>
                <w:highlight w:val="none"/>
              </w:rPr>
            </w:pPr>
            <w:r>
              <w:rPr>
                <w:rFonts w:hint="eastAsia" w:ascii="宋体" w:hAnsi="宋体" w:cs="宋体"/>
                <w:color w:val="auto"/>
                <w:kern w:val="0"/>
                <w:highlight w:val="none"/>
              </w:rPr>
              <w:t>第三十五条第三款 建设单位或者个人应当依据规划条件向市城乡规划主管部门提交建设工程设计方案。建设工程设计方案符合村庄规划和规划条件的，市城乡规划主管部门应当自收到建设工程设计方案之日起二十日内核发乡村建设规划许可证。</w:t>
            </w:r>
            <w:r>
              <w:rPr>
                <w:rFonts w:ascii="宋体"/>
                <w:color w:val="auto"/>
                <w:kern w:val="0"/>
                <w:highlight w:val="none"/>
              </w:rPr>
              <w:br w:type="textWrapping"/>
            </w:r>
            <w:r>
              <w:rPr>
                <w:rFonts w:hint="eastAsia" w:ascii="宋体" w:hAnsi="宋体" w:cs="宋体"/>
                <w:color w:val="auto"/>
                <w:kern w:val="0"/>
                <w:highlight w:val="none"/>
              </w:rPr>
              <w:t>第三十五条第四款 在村庄规划区内国有土地上进行建设的，应当按照城市规划区内建设项目规划许可的程序，依据村庄规划办理规划许可手续。</w:t>
            </w:r>
          </w:p>
          <w:p>
            <w:pPr>
              <w:widowControl/>
              <w:spacing w:line="340" w:lineRule="exact"/>
              <w:jc w:val="left"/>
              <w:rPr>
                <w:rFonts w:ascii="宋体"/>
                <w:color w:val="auto"/>
                <w:kern w:val="0"/>
                <w:highlight w:val="none"/>
              </w:rPr>
            </w:pPr>
          </w:p>
        </w:tc>
        <w:tc>
          <w:tcPr>
            <w:tcW w:w="2379"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《厦门市城乡规划条例》第五十七条第二款 已取得批准的建设工程设计方案但未办理建设工程规划许可证的，责令限期补办建设工程规划许可证，并处整体建设工程造价百分之五的罚款。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已取得批准的建设工程设计方案但未办理建设工程规划许可证的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责令限期补办建设工程规划许可证，并处整体建设工程造价百分之五的罚款</w:t>
            </w:r>
          </w:p>
        </w:tc>
        <w:tc>
          <w:tcPr>
            <w:tcW w:w="1046" w:type="dxa"/>
            <w:tcBorders>
              <w:top w:val="nil"/>
              <w:left w:val="nil"/>
              <w:bottom w:val="single" w:color="auto" w:sz="4" w:space="0"/>
              <w:right w:val="single" w:color="auto" w:sz="4" w:space="0"/>
            </w:tcBorders>
            <w:noWrap/>
            <w:vAlign w:val="center"/>
          </w:tcPr>
          <w:p>
            <w:pPr>
              <w:widowControl/>
              <w:spacing w:line="320" w:lineRule="exact"/>
              <w:jc w:val="both"/>
              <w:rPr>
                <w:rFonts w:hint="eastAsia" w:ascii="宋体" w:eastAsia="宋体" w:cs="Times New Roman"/>
                <w:color w:val="auto"/>
                <w:kern w:val="0"/>
                <w:highlight w:val="none"/>
                <w:lang w:eastAsia="zh-CN"/>
              </w:rPr>
            </w:pPr>
            <w:r>
              <w:rPr>
                <w:rFonts w:hint="eastAsia" w:ascii="宋体" w:hAnsi="宋体" w:cs="宋体"/>
                <w:color w:val="auto"/>
                <w:kern w:val="0"/>
                <w:highlight w:val="none"/>
                <w:lang w:eastAsia="zh-CN"/>
              </w:rPr>
              <w:t>此项处罚</w:t>
            </w:r>
            <w:r>
              <w:rPr>
                <w:rFonts w:hint="eastAsia" w:ascii="宋体" w:hAnsi="宋体" w:cs="宋体"/>
                <w:color w:val="auto"/>
                <w:kern w:val="0"/>
                <w:highlight w:val="none"/>
              </w:rPr>
              <w:t>不涉及裁量权</w:t>
            </w:r>
            <w:r>
              <w:rPr>
                <w:rFonts w:hint="eastAsia" w:ascii="宋体" w:hAnsi="宋体" w:cs="宋体"/>
                <w:color w:val="auto"/>
                <w:kern w:val="0"/>
                <w:highlight w:val="none"/>
                <w:lang w:eastAsia="zh-CN"/>
              </w:rPr>
              <w:t>基准</w:t>
            </w:r>
          </w:p>
        </w:tc>
      </w:tr>
      <w:tr>
        <w:tblPrEx>
          <w:tblCellMar>
            <w:top w:w="0" w:type="dxa"/>
            <w:left w:w="108" w:type="dxa"/>
            <w:bottom w:w="0" w:type="dxa"/>
            <w:right w:w="108" w:type="dxa"/>
          </w:tblCellMar>
        </w:tblPrEx>
        <w:trPr>
          <w:trHeight w:val="2720" w:hRule="atLeast"/>
          <w:jc w:val="center"/>
        </w:trPr>
        <w:tc>
          <w:tcPr>
            <w:tcW w:w="65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4</w:t>
            </w:r>
          </w:p>
        </w:tc>
        <w:tc>
          <w:tcPr>
            <w:tcW w:w="121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未按照建设工程规划许可证或者乡村建设规划许可证的规定进行建设，尚可采取改正措施消除影响的</w:t>
            </w:r>
          </w:p>
        </w:tc>
        <w:tc>
          <w:tcPr>
            <w:tcW w:w="52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《厦门市城乡规划条例》第四十二条 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37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《厦门市城乡规划条例》第五十八条 违反本条例规定，未按照建设工程规划许可证或者乡村建设规划许可证的规定进行建设的，由城市管理行政执法部门责令停止建设；尚可采取改正措施消除对规划实施的影响的，限期改正，处以违法部分建设工程造价百分之五以上百分之十以下的罚款；无法采取改正措施消除影响的，限期拆除，不能拆除的，没收实物或者没收违法收入，可以并处违法部分建设工程造价百分之十以下的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s="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以下的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olor w:val="auto"/>
                <w:kern w:val="0"/>
                <w:highlight w:val="none"/>
              </w:rPr>
            </w:pPr>
            <w:r>
              <w:rPr>
                <w:rFonts w:hint="eastAsia" w:ascii="宋体" w:hAnsi="宋体" w:cs="宋体"/>
                <w:color w:val="auto"/>
                <w:kern w:val="0"/>
                <w:highlight w:val="none"/>
              </w:rPr>
              <w:t>责令停止建设；限期改正，处以违法部分建设工程造价百分之五以上百分之六以下的罚款</w:t>
            </w:r>
          </w:p>
        </w:tc>
        <w:tc>
          <w:tcPr>
            <w:tcW w:w="104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2107"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s="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以下的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s="宋体"/>
                <w:color w:val="auto"/>
                <w:kern w:val="0"/>
                <w:highlight w:val="none"/>
              </w:rPr>
            </w:pPr>
            <w:r>
              <w:rPr>
                <w:rFonts w:hint="eastAsia" w:ascii="宋体" w:hAnsi="宋体" w:cs="宋体"/>
                <w:color w:val="auto"/>
                <w:kern w:val="0"/>
                <w:highlight w:val="none"/>
              </w:rPr>
              <w:t>责令停止建设；限期改正，处以违法部分建设工程造价百分之六以上百分之八以下的罚款</w:t>
            </w:r>
          </w:p>
        </w:tc>
        <w:tc>
          <w:tcPr>
            <w:tcW w:w="104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90"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s="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以上的</w:t>
            </w:r>
          </w:p>
        </w:tc>
        <w:tc>
          <w:tcPr>
            <w:tcW w:w="1575" w:type="dxa"/>
            <w:tcBorders>
              <w:top w:val="nil"/>
              <w:left w:val="nil"/>
              <w:bottom w:val="single" w:color="auto" w:sz="4" w:space="0"/>
              <w:right w:val="single" w:color="auto" w:sz="4" w:space="0"/>
            </w:tcBorders>
            <w:vAlign w:val="center"/>
          </w:tcPr>
          <w:p>
            <w:pPr>
              <w:widowControl/>
              <w:spacing w:line="260" w:lineRule="exact"/>
              <w:jc w:val="left"/>
              <w:rPr>
                <w:rFonts w:ascii="宋体" w:cs="宋体"/>
                <w:color w:val="auto"/>
                <w:kern w:val="0"/>
                <w:highlight w:val="none"/>
              </w:rPr>
            </w:pPr>
            <w:r>
              <w:rPr>
                <w:rFonts w:hint="eastAsia" w:ascii="宋体" w:hAnsi="宋体" w:cs="宋体"/>
                <w:color w:val="auto"/>
                <w:kern w:val="0"/>
                <w:highlight w:val="none"/>
              </w:rPr>
              <w:t>责令停止建设；限期改正，处以违法部分建设工程造价百分之八以上百分之十以下的罚款</w:t>
            </w:r>
          </w:p>
        </w:tc>
        <w:tc>
          <w:tcPr>
            <w:tcW w:w="104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1429" w:hRule="atLeast"/>
          <w:jc w:val="center"/>
        </w:trPr>
        <w:tc>
          <w:tcPr>
            <w:tcW w:w="65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5</w:t>
            </w:r>
          </w:p>
        </w:tc>
        <w:tc>
          <w:tcPr>
            <w:tcW w:w="121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未按照建设工程规划许可证或者乡村建设规划许可证的规定进行建设，无法采取改正措施消除影响的（不能拆除的）</w:t>
            </w:r>
          </w:p>
        </w:tc>
        <w:tc>
          <w:tcPr>
            <w:tcW w:w="52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《厦门市城乡规划条例》第四十二条 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379"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《厦门市城乡规划条例》第五十八条 违反本条例规定，未按照建设工程规划许可证或者乡村建设规划许可证的规定进行建设的，由城市管理行政执法部门责令停止建设；尚可采取改正措施消除对规划实施的影响的，限期改正，处以违法部分建设工程造价百分之五以上百分之十以下的罚款；无法采取改正措施消除影响的，限期拆除，不能拆除的，没收实物或者没收违法收入，可以并处违法部分建设工程造价百分之十以下的罚款。</w:t>
            </w:r>
          </w:p>
        </w:tc>
        <w:tc>
          <w:tcPr>
            <w:tcW w:w="862" w:type="dxa"/>
            <w:tcBorders>
              <w:top w:val="nil"/>
              <w:left w:val="nil"/>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1725" w:type="dxa"/>
            <w:tcBorders>
              <w:top w:val="nil"/>
              <w:left w:val="nil"/>
              <w:bottom w:val="single" w:color="auto" w:sz="4" w:space="0"/>
              <w:right w:val="single" w:color="auto" w:sz="4" w:space="0"/>
            </w:tcBorders>
            <w:vAlign w:val="center"/>
          </w:tcPr>
          <w:p>
            <w:pPr>
              <w:widowControl w:val="0"/>
              <w:spacing w:line="240" w:lineRule="auto"/>
              <w:jc w:val="both"/>
              <w:rPr>
                <w:rFonts w:ascii="宋体" w:cs="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以下的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责令停止建设，没收实物或者没收违法收入，可以并处违法部分建设工程造价百分之</w:t>
            </w:r>
            <w:r>
              <w:rPr>
                <w:rFonts w:hint="eastAsia" w:ascii="宋体" w:hAnsi="宋体" w:cs="宋体"/>
                <w:color w:val="auto"/>
                <w:kern w:val="0"/>
                <w:highlight w:val="none"/>
                <w:lang w:eastAsia="zh-CN"/>
              </w:rPr>
              <w:t>二</w:t>
            </w:r>
            <w:r>
              <w:rPr>
                <w:rFonts w:hint="eastAsia" w:ascii="宋体" w:hAnsi="宋体" w:cs="宋体"/>
                <w:color w:val="auto"/>
                <w:kern w:val="0"/>
                <w:highlight w:val="none"/>
              </w:rPr>
              <w:t>以下</w:t>
            </w:r>
            <w:r>
              <w:rPr>
                <w:rFonts w:hint="eastAsia" w:ascii="宋体" w:hAnsi="宋体" w:cs="宋体"/>
                <w:color w:val="auto"/>
                <w:kern w:val="0"/>
                <w:highlight w:val="none"/>
                <w:lang w:eastAsia="zh-CN"/>
              </w:rPr>
              <w:t>的</w:t>
            </w:r>
            <w:r>
              <w:rPr>
                <w:rFonts w:hint="eastAsia" w:ascii="宋体" w:hAnsi="宋体" w:cs="宋体"/>
                <w:color w:val="auto"/>
                <w:kern w:val="0"/>
                <w:highlight w:val="none"/>
              </w:rPr>
              <w:t>罚款</w:t>
            </w:r>
          </w:p>
        </w:tc>
        <w:tc>
          <w:tcPr>
            <w:tcW w:w="104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1725" w:type="dxa"/>
            <w:tcBorders>
              <w:top w:val="nil"/>
              <w:left w:val="nil"/>
              <w:bottom w:val="single" w:color="auto" w:sz="4" w:space="0"/>
              <w:right w:val="single" w:color="auto" w:sz="4" w:space="0"/>
            </w:tcBorders>
            <w:vAlign w:val="center"/>
          </w:tcPr>
          <w:p>
            <w:pPr>
              <w:widowControl w:val="0"/>
              <w:spacing w:line="240" w:lineRule="auto"/>
              <w:jc w:val="both"/>
              <w:rPr>
                <w:rFonts w:ascii="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以下的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责令停止建设，没收实物或者没收违法收入，可以并处违法部分建设工程造价百分之</w:t>
            </w:r>
            <w:r>
              <w:rPr>
                <w:rFonts w:hint="eastAsia" w:ascii="宋体" w:hAnsi="宋体" w:cs="宋体"/>
                <w:color w:val="auto"/>
                <w:kern w:val="0"/>
                <w:highlight w:val="none"/>
                <w:lang w:eastAsia="zh-CN"/>
              </w:rPr>
              <w:t>二</w:t>
            </w:r>
            <w:r>
              <w:rPr>
                <w:rFonts w:hint="eastAsia" w:ascii="宋体" w:hAnsi="宋体" w:cs="宋体"/>
                <w:color w:val="auto"/>
                <w:kern w:val="0"/>
                <w:highlight w:val="none"/>
              </w:rPr>
              <w:t>以上百分之</w:t>
            </w:r>
            <w:r>
              <w:rPr>
                <w:rFonts w:hint="eastAsia" w:ascii="宋体" w:hAnsi="宋体" w:cs="宋体"/>
                <w:color w:val="auto"/>
                <w:kern w:val="0"/>
                <w:highlight w:val="none"/>
                <w:lang w:eastAsia="zh-CN"/>
              </w:rPr>
              <w:t>六</w:t>
            </w:r>
            <w:r>
              <w:rPr>
                <w:rFonts w:hint="eastAsia" w:ascii="宋体" w:hAnsi="宋体" w:cs="宋体"/>
                <w:color w:val="auto"/>
                <w:kern w:val="0"/>
                <w:highlight w:val="none"/>
              </w:rPr>
              <w:t>以下的罚款</w:t>
            </w:r>
          </w:p>
        </w:tc>
        <w:tc>
          <w:tcPr>
            <w:tcW w:w="104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3203"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1725" w:type="dxa"/>
            <w:tcBorders>
              <w:top w:val="nil"/>
              <w:left w:val="nil"/>
              <w:bottom w:val="single" w:color="auto" w:sz="4" w:space="0"/>
              <w:right w:val="single" w:color="auto" w:sz="4" w:space="0"/>
            </w:tcBorders>
            <w:vAlign w:val="center"/>
          </w:tcPr>
          <w:p>
            <w:pPr>
              <w:widowControl w:val="0"/>
              <w:spacing w:line="240" w:lineRule="auto"/>
              <w:jc w:val="both"/>
              <w:rPr>
                <w:rFonts w:ascii="宋体"/>
                <w:color w:val="auto"/>
                <w:kern w:val="0"/>
                <w:highlight w:val="none"/>
              </w:rPr>
            </w:pPr>
            <w:r>
              <w:rPr>
                <w:rFonts w:hint="eastAsia" w:ascii="宋体" w:hAnsi="宋体" w:cs="宋体"/>
                <w:color w:val="auto"/>
                <w:kern w:val="0"/>
                <w:highlight w:val="none"/>
              </w:rPr>
              <w:t>违法部分的建筑面积占审批面积</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以上的</w:t>
            </w:r>
          </w:p>
        </w:tc>
        <w:tc>
          <w:tcPr>
            <w:tcW w:w="1575" w:type="dxa"/>
            <w:tcBorders>
              <w:top w:val="nil"/>
              <w:left w:val="nil"/>
              <w:bottom w:val="single" w:color="auto" w:sz="4" w:space="0"/>
              <w:right w:val="single" w:color="auto" w:sz="4" w:space="0"/>
            </w:tcBorders>
            <w:vAlign w:val="center"/>
          </w:tcPr>
          <w:p>
            <w:pPr>
              <w:widowControl w:val="0"/>
              <w:spacing w:line="240" w:lineRule="auto"/>
              <w:jc w:val="both"/>
              <w:rPr>
                <w:rFonts w:ascii="宋体"/>
                <w:color w:val="auto"/>
                <w:kern w:val="0"/>
                <w:highlight w:val="none"/>
              </w:rPr>
            </w:pPr>
            <w:r>
              <w:rPr>
                <w:rFonts w:hint="eastAsia" w:ascii="宋体" w:hAnsi="宋体" w:cs="宋体"/>
                <w:color w:val="auto"/>
                <w:kern w:val="0"/>
                <w:highlight w:val="none"/>
              </w:rPr>
              <w:t>责令停止建设，没收实物或者没收违法收入，并处处违法部分建设工程造价百分之</w:t>
            </w:r>
            <w:r>
              <w:rPr>
                <w:rFonts w:hint="eastAsia" w:ascii="宋体" w:hAnsi="宋体" w:cs="宋体"/>
                <w:color w:val="auto"/>
                <w:kern w:val="0"/>
                <w:highlight w:val="none"/>
                <w:lang w:eastAsia="zh-CN"/>
              </w:rPr>
              <w:t>六</w:t>
            </w:r>
            <w:r>
              <w:rPr>
                <w:rFonts w:hint="eastAsia" w:ascii="宋体" w:hAnsi="宋体" w:cs="宋体"/>
                <w:color w:val="auto"/>
                <w:kern w:val="0"/>
                <w:highlight w:val="none"/>
              </w:rPr>
              <w:t>以上百分之十以下的罚款</w:t>
            </w:r>
          </w:p>
        </w:tc>
        <w:tc>
          <w:tcPr>
            <w:tcW w:w="104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2989" w:hRule="atLeast"/>
          <w:jc w:val="center"/>
        </w:trPr>
        <w:tc>
          <w:tcPr>
            <w:tcW w:w="653"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auto"/>
                <w:kern w:val="0"/>
                <w:highlight w:val="none"/>
              </w:rPr>
            </w:pPr>
            <w:r>
              <w:rPr>
                <w:rFonts w:ascii="宋体" w:hAnsi="宋体" w:cs="宋体"/>
                <w:color w:val="auto"/>
                <w:kern w:val="0"/>
                <w:highlight w:val="none"/>
              </w:rPr>
              <w:t>6</w:t>
            </w:r>
          </w:p>
        </w:tc>
        <w:tc>
          <w:tcPr>
            <w:tcW w:w="1216"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cs="宋体"/>
                <w:color w:val="auto"/>
                <w:kern w:val="0"/>
                <w:highlight w:val="none"/>
              </w:rPr>
            </w:pPr>
            <w:r>
              <w:rPr>
                <w:rFonts w:hint="eastAsia" w:ascii="宋体" w:hAnsi="宋体" w:cs="宋体"/>
                <w:color w:val="auto"/>
                <w:kern w:val="0"/>
                <w:highlight w:val="none"/>
              </w:rPr>
              <w:t>未按照建设工程规划许可证或者乡村建设规划许可证的规定进行建设的，无法采取改正措施消除对规划实施的影响（可以拆除的）</w:t>
            </w:r>
          </w:p>
        </w:tc>
        <w:tc>
          <w:tcPr>
            <w:tcW w:w="5286"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auto"/>
                <w:kern w:val="0"/>
                <w:highlight w:val="none"/>
              </w:rPr>
            </w:pPr>
            <w:r>
              <w:rPr>
                <w:rFonts w:hint="eastAsia" w:ascii="宋体" w:hAnsi="宋体" w:cs="宋体"/>
                <w:color w:val="auto"/>
                <w:kern w:val="0"/>
                <w:highlight w:val="none"/>
              </w:rPr>
              <w:t>《厦门市城乡规划条例》第四十二条 建设单位或者个人需要变更建设工程规划许可进行建设的，应当报经原发证机关批准后，方可实施。变更的内容涉及利害关系人合法权益的，市城乡规划主管部门应当采取听证等形式听取利害关系人意见。</w:t>
            </w:r>
          </w:p>
        </w:tc>
        <w:tc>
          <w:tcPr>
            <w:tcW w:w="237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auto"/>
                <w:kern w:val="0"/>
                <w:highlight w:val="none"/>
              </w:rPr>
            </w:pPr>
            <w:r>
              <w:rPr>
                <w:rFonts w:hint="eastAsia" w:ascii="宋体" w:hAnsi="宋体" w:cs="宋体"/>
                <w:color w:val="auto"/>
                <w:kern w:val="0"/>
                <w:highlight w:val="none"/>
              </w:rPr>
              <w:t>《厦门市城乡规划条例》第五十八条 违反本条例规定，未按照建设工程规划许可证或者乡村建设规划许可证的规定进行建设的，由城市管理行政执法部门责令停止建设；尚可采取改正措施消除对规划实施的影响的，限期改正，处以违法部分建设工程造价百分之五以上百分之十以下的罚款；无法采取改正措施消除影响的，限期拆除，不能拆除的，没收实物或者没收违法收入，可以并处违法部分建设工程造价百分之十以下的罚款。</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违法的建筑面积占审批面积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以下的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hAnsi="宋体" w:cs="宋体"/>
                <w:color w:val="auto"/>
                <w:kern w:val="0"/>
                <w:highlight w:val="none"/>
              </w:rPr>
            </w:pPr>
            <w:r>
              <w:rPr>
                <w:rFonts w:hint="eastAsia" w:ascii="宋体" w:hAnsi="宋体" w:cs="宋体"/>
                <w:color w:val="auto"/>
                <w:kern w:val="0"/>
                <w:highlight w:val="none"/>
              </w:rPr>
              <w:t>限期拆除</w:t>
            </w:r>
            <w:r>
              <w:rPr>
                <w:rFonts w:ascii="宋体" w:cs="宋体"/>
                <w:color w:val="auto"/>
                <w:kern w:val="0"/>
                <w:highlight w:val="none"/>
              </w:rPr>
              <w:t>,</w:t>
            </w:r>
            <w:r>
              <w:rPr>
                <w:rFonts w:hint="eastAsia" w:ascii="宋体" w:cs="宋体"/>
                <w:color w:val="auto"/>
                <w:kern w:val="0"/>
                <w:highlight w:val="none"/>
              </w:rPr>
              <w:t>可以并</w:t>
            </w:r>
            <w:r>
              <w:rPr>
                <w:rFonts w:hint="eastAsia" w:ascii="宋体" w:hAnsi="宋体" w:cs="宋体"/>
                <w:color w:val="auto"/>
                <w:kern w:val="0"/>
                <w:highlight w:val="none"/>
              </w:rPr>
              <w:t>处建设工程造价百分之</w:t>
            </w:r>
            <w:r>
              <w:rPr>
                <w:rFonts w:hint="eastAsia" w:ascii="宋体" w:hAnsi="宋体" w:cs="宋体"/>
                <w:color w:val="auto"/>
                <w:kern w:val="0"/>
                <w:highlight w:val="none"/>
                <w:lang w:eastAsia="zh-CN"/>
              </w:rPr>
              <w:t>二</w:t>
            </w:r>
            <w:r>
              <w:rPr>
                <w:rFonts w:hint="eastAsia" w:ascii="宋体" w:hAnsi="宋体" w:cs="宋体"/>
                <w:color w:val="auto"/>
                <w:kern w:val="0"/>
                <w:highlight w:val="none"/>
              </w:rPr>
              <w:t>以下的罚款</w:t>
            </w:r>
          </w:p>
        </w:tc>
        <w:tc>
          <w:tcPr>
            <w:tcW w:w="10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在城市管理行政执法部门</w:t>
            </w:r>
            <w:r>
              <w:rPr>
                <w:rFonts w:hint="eastAsia" w:ascii="宋体" w:hAnsi="宋体" w:cs="宋体"/>
                <w:color w:val="auto"/>
                <w:kern w:val="0"/>
                <w:highlight w:val="none"/>
                <w:lang w:eastAsia="zh-CN"/>
              </w:rPr>
              <w:t>作出</w:t>
            </w:r>
            <w:r>
              <w:rPr>
                <w:rFonts w:hint="eastAsia" w:ascii="宋体" w:hAnsi="宋体" w:cs="宋体"/>
                <w:color w:val="auto"/>
                <w:kern w:val="0"/>
                <w:highlight w:val="none"/>
              </w:rPr>
              <w:t>行政处罚决定之前,当事人自行</w:t>
            </w:r>
            <w:r>
              <w:rPr>
                <w:rFonts w:hint="eastAsia" w:ascii="宋体" w:hAnsi="宋体" w:cs="宋体"/>
                <w:color w:val="auto"/>
                <w:kern w:val="0"/>
                <w:highlight w:val="none"/>
                <w:lang w:eastAsia="zh-CN"/>
              </w:rPr>
              <w:t>拆除案涉违法建筑的</w:t>
            </w:r>
            <w:r>
              <w:rPr>
                <w:rFonts w:hint="eastAsia" w:ascii="宋体" w:hAnsi="宋体" w:cs="宋体"/>
                <w:color w:val="auto"/>
                <w:kern w:val="0"/>
                <w:highlight w:val="none"/>
              </w:rPr>
              <w:t>，可以免予处罚。</w:t>
            </w:r>
          </w:p>
        </w:tc>
      </w:tr>
      <w:tr>
        <w:tblPrEx>
          <w:tblCellMar>
            <w:top w:w="0" w:type="dxa"/>
            <w:left w:w="108" w:type="dxa"/>
            <w:bottom w:w="0" w:type="dxa"/>
            <w:right w:w="108" w:type="dxa"/>
          </w:tblCellMar>
        </w:tblPrEx>
        <w:trPr>
          <w:trHeight w:val="4094" w:hRule="atLeast"/>
          <w:jc w:val="center"/>
        </w:trPr>
        <w:tc>
          <w:tcPr>
            <w:tcW w:w="653" w:type="dxa"/>
            <w:vMerge w:val="continue"/>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cs="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cs="宋体"/>
                <w:color w:val="auto"/>
                <w:kern w:val="0"/>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一般</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违法的建筑面积占审批面积</w:t>
            </w:r>
            <w:r>
              <w:rPr>
                <w:rFonts w:hint="eastAsia" w:ascii="宋体" w:hAnsi="宋体" w:cs="宋体"/>
                <w:color w:val="auto"/>
                <w:kern w:val="0"/>
                <w:highlight w:val="none"/>
                <w:lang w:val="en-US" w:eastAsia="zh-CN"/>
              </w:rPr>
              <w:t>5%以上15%以下</w:t>
            </w:r>
            <w:r>
              <w:rPr>
                <w:rFonts w:hint="eastAsia" w:ascii="宋体" w:hAnsi="宋体" w:cs="宋体"/>
                <w:color w:val="auto"/>
                <w:kern w:val="0"/>
                <w:highlight w:val="none"/>
              </w:rPr>
              <w:t>的</w:t>
            </w:r>
            <w:r>
              <w:rPr>
                <w:rFonts w:ascii="宋体" w:hAnsi="宋体" w:cs="宋体"/>
                <w:color w:val="auto"/>
                <w:kern w:val="0"/>
                <w:highlight w:val="none"/>
              </w:rPr>
              <w:t xml:space="preserve"> </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hAnsi="宋体" w:cs="宋体"/>
                <w:color w:val="auto"/>
                <w:kern w:val="0"/>
                <w:highlight w:val="none"/>
              </w:rPr>
            </w:pPr>
            <w:r>
              <w:rPr>
                <w:rFonts w:hint="eastAsia" w:ascii="宋体" w:hAnsi="宋体" w:cs="宋体"/>
                <w:color w:val="auto"/>
                <w:kern w:val="0"/>
                <w:highlight w:val="none"/>
              </w:rPr>
              <w:t>限期拆除</w:t>
            </w:r>
            <w:r>
              <w:rPr>
                <w:rFonts w:ascii="宋体" w:cs="宋体"/>
                <w:color w:val="auto"/>
                <w:kern w:val="0"/>
                <w:highlight w:val="none"/>
              </w:rPr>
              <w:t>,</w:t>
            </w:r>
            <w:r>
              <w:rPr>
                <w:rFonts w:hint="eastAsia" w:ascii="宋体" w:cs="宋体"/>
                <w:color w:val="auto"/>
                <w:kern w:val="0"/>
                <w:highlight w:val="none"/>
              </w:rPr>
              <w:t>可以并</w:t>
            </w:r>
            <w:r>
              <w:rPr>
                <w:rFonts w:hint="eastAsia" w:ascii="宋体" w:hAnsi="宋体" w:cs="宋体"/>
                <w:color w:val="auto"/>
                <w:kern w:val="0"/>
                <w:highlight w:val="none"/>
              </w:rPr>
              <w:t>处建设工程造价百分之</w:t>
            </w:r>
            <w:r>
              <w:rPr>
                <w:rFonts w:hint="eastAsia" w:ascii="宋体" w:hAnsi="宋体" w:cs="宋体"/>
                <w:color w:val="auto"/>
                <w:kern w:val="0"/>
                <w:highlight w:val="none"/>
                <w:lang w:eastAsia="zh-CN"/>
              </w:rPr>
              <w:t>二</w:t>
            </w:r>
            <w:r>
              <w:rPr>
                <w:rFonts w:hint="eastAsia" w:ascii="宋体" w:hAnsi="宋体" w:cs="宋体"/>
                <w:color w:val="auto"/>
                <w:kern w:val="0"/>
                <w:highlight w:val="none"/>
              </w:rPr>
              <w:t>以上百分之</w:t>
            </w:r>
            <w:r>
              <w:rPr>
                <w:rFonts w:hint="eastAsia" w:ascii="宋体" w:hAnsi="宋体" w:cs="宋体"/>
                <w:color w:val="auto"/>
                <w:kern w:val="0"/>
                <w:highlight w:val="none"/>
                <w:lang w:eastAsia="zh-CN"/>
              </w:rPr>
              <w:t>六</w:t>
            </w:r>
            <w:r>
              <w:rPr>
                <w:rFonts w:hint="eastAsia" w:ascii="宋体" w:hAnsi="宋体" w:cs="宋体"/>
                <w:color w:val="auto"/>
                <w:kern w:val="0"/>
                <w:highlight w:val="none"/>
              </w:rPr>
              <w:t>以下的罚款</w:t>
            </w:r>
          </w:p>
        </w:tc>
        <w:tc>
          <w:tcPr>
            <w:tcW w:w="10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p>
        </w:tc>
      </w:tr>
      <w:tr>
        <w:tblPrEx>
          <w:tblCellMar>
            <w:top w:w="0" w:type="dxa"/>
            <w:left w:w="108" w:type="dxa"/>
            <w:bottom w:w="0" w:type="dxa"/>
            <w:right w:w="108" w:type="dxa"/>
          </w:tblCellMar>
        </w:tblPrEx>
        <w:trPr>
          <w:trHeight w:val="3476" w:hRule="atLeast"/>
          <w:jc w:val="center"/>
        </w:trPr>
        <w:tc>
          <w:tcPr>
            <w:tcW w:w="65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宋体"/>
                <w:color w:val="auto"/>
                <w:kern w:val="0"/>
                <w:highlight w:val="none"/>
              </w:rPr>
            </w:pPr>
          </w:p>
        </w:tc>
        <w:tc>
          <w:tcPr>
            <w:tcW w:w="5286" w:type="dxa"/>
            <w:vMerge w:val="continue"/>
            <w:tcBorders>
              <w:top w:val="single" w:color="auto" w:sz="4" w:space="0"/>
              <w:left w:val="nil"/>
              <w:bottom w:val="single" w:color="auto" w:sz="4" w:space="0"/>
              <w:right w:val="single" w:color="auto" w:sz="4" w:space="0"/>
            </w:tcBorders>
            <w:vAlign w:val="center"/>
          </w:tcPr>
          <w:p>
            <w:pPr>
              <w:widowControl/>
              <w:spacing w:line="300" w:lineRule="exact"/>
              <w:jc w:val="left"/>
              <w:rPr>
                <w:rFonts w:ascii="宋体"/>
                <w:color w:val="auto"/>
                <w:kern w:val="0"/>
                <w:highlight w:val="none"/>
              </w:rPr>
            </w:pPr>
          </w:p>
        </w:tc>
        <w:tc>
          <w:tcPr>
            <w:tcW w:w="2379" w:type="dxa"/>
            <w:vMerge w:val="continue"/>
            <w:tcBorders>
              <w:top w:val="single" w:color="auto" w:sz="4" w:space="0"/>
              <w:left w:val="nil"/>
              <w:bottom w:val="single" w:color="auto" w:sz="4" w:space="0"/>
              <w:right w:val="single" w:color="auto" w:sz="4" w:space="0"/>
            </w:tcBorders>
            <w:vAlign w:val="center"/>
          </w:tcPr>
          <w:p>
            <w:pPr>
              <w:widowControl/>
              <w:spacing w:line="280" w:lineRule="exact"/>
              <w:rPr>
                <w:rFonts w:ascii="宋体"/>
                <w:color w:val="auto"/>
                <w:kern w:val="0"/>
                <w:highlight w:val="none"/>
              </w:rPr>
            </w:pPr>
          </w:p>
        </w:tc>
        <w:tc>
          <w:tcPr>
            <w:tcW w:w="86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严重</w:t>
            </w:r>
          </w:p>
        </w:tc>
        <w:tc>
          <w:tcPr>
            <w:tcW w:w="1725" w:type="dxa"/>
            <w:tcBorders>
              <w:top w:val="single" w:color="auto" w:sz="4" w:space="0"/>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违法的建筑面积占审批面积</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以上的。</w:t>
            </w:r>
          </w:p>
        </w:tc>
        <w:tc>
          <w:tcPr>
            <w:tcW w:w="1575" w:type="dxa"/>
            <w:tcBorders>
              <w:top w:val="single" w:color="auto" w:sz="4" w:space="0"/>
              <w:left w:val="nil"/>
              <w:bottom w:val="single" w:color="auto" w:sz="4" w:space="0"/>
              <w:right w:val="single" w:color="auto" w:sz="4" w:space="0"/>
            </w:tcBorders>
            <w:vAlign w:val="center"/>
          </w:tcPr>
          <w:p>
            <w:pPr>
              <w:widowControl/>
              <w:spacing w:line="320" w:lineRule="exact"/>
              <w:rPr>
                <w:rFonts w:ascii="宋体" w:cs="Times New Roman"/>
                <w:color w:val="auto"/>
                <w:kern w:val="0"/>
                <w:highlight w:val="none"/>
              </w:rPr>
            </w:pPr>
            <w:r>
              <w:rPr>
                <w:rFonts w:hint="eastAsia" w:ascii="宋体" w:hAnsi="宋体" w:cs="宋体"/>
                <w:color w:val="auto"/>
                <w:kern w:val="0"/>
                <w:highlight w:val="none"/>
              </w:rPr>
              <w:t>限期拆除</w:t>
            </w:r>
            <w:r>
              <w:rPr>
                <w:rFonts w:ascii="宋体" w:cs="宋体"/>
                <w:color w:val="auto"/>
                <w:kern w:val="0"/>
                <w:highlight w:val="none"/>
              </w:rPr>
              <w:t>,</w:t>
            </w:r>
            <w:r>
              <w:rPr>
                <w:rFonts w:hint="eastAsia" w:ascii="宋体" w:cs="宋体"/>
                <w:color w:val="auto"/>
                <w:kern w:val="0"/>
                <w:highlight w:val="none"/>
              </w:rPr>
              <w:t>并</w:t>
            </w:r>
            <w:r>
              <w:rPr>
                <w:rFonts w:hint="eastAsia" w:ascii="宋体" w:hAnsi="宋体" w:cs="宋体"/>
                <w:color w:val="auto"/>
                <w:kern w:val="0"/>
                <w:highlight w:val="none"/>
              </w:rPr>
              <w:t>处建设工程造价百分之</w:t>
            </w:r>
            <w:r>
              <w:rPr>
                <w:rFonts w:hint="eastAsia" w:ascii="宋体" w:hAnsi="宋体" w:cs="宋体"/>
                <w:color w:val="auto"/>
                <w:kern w:val="0"/>
                <w:highlight w:val="none"/>
                <w:lang w:eastAsia="zh-CN"/>
              </w:rPr>
              <w:t>六</w:t>
            </w:r>
            <w:r>
              <w:rPr>
                <w:rFonts w:hint="eastAsia" w:ascii="宋体" w:hAnsi="宋体" w:cs="宋体"/>
                <w:color w:val="auto"/>
                <w:kern w:val="0"/>
                <w:highlight w:val="none"/>
              </w:rPr>
              <w:t>以上百分之十以下的罚款</w:t>
            </w:r>
          </w:p>
        </w:tc>
        <w:tc>
          <w:tcPr>
            <w:tcW w:w="1046" w:type="dxa"/>
            <w:vMerge w:val="continue"/>
            <w:tcBorders>
              <w:top w:val="single" w:color="auto" w:sz="4" w:space="0"/>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r>
      <w:tr>
        <w:tblPrEx>
          <w:tblCellMar>
            <w:top w:w="0" w:type="dxa"/>
            <w:left w:w="108" w:type="dxa"/>
            <w:bottom w:w="0" w:type="dxa"/>
            <w:right w:w="108" w:type="dxa"/>
          </w:tblCellMar>
        </w:tblPrEx>
        <w:trPr>
          <w:jc w:val="center"/>
        </w:trPr>
        <w:tc>
          <w:tcPr>
            <w:tcW w:w="65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7</w:t>
            </w:r>
          </w:p>
        </w:tc>
        <w:tc>
          <w:tcPr>
            <w:tcW w:w="1216" w:type="dxa"/>
            <w:vMerge w:val="restart"/>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olor w:val="auto"/>
                <w:kern w:val="0"/>
                <w:highlight w:val="none"/>
              </w:rPr>
            </w:pPr>
            <w:r>
              <w:rPr>
                <w:rFonts w:hint="eastAsia" w:ascii="宋体" w:hAnsi="宋体" w:cs="宋体"/>
                <w:color w:val="auto"/>
                <w:kern w:val="0"/>
                <w:highlight w:val="none"/>
              </w:rPr>
              <w:t>未在施工现场设立建设工程规划许可公告牌</w:t>
            </w:r>
            <w:r>
              <w:rPr>
                <w:rFonts w:hint="eastAsia" w:ascii="宋体" w:hAnsi="宋体" w:cs="宋体"/>
                <w:strike w:val="0"/>
                <w:dstrike w:val="0"/>
                <w:color w:val="auto"/>
                <w:kern w:val="0"/>
                <w:highlight w:val="none"/>
                <w:lang w:eastAsia="zh-CN"/>
              </w:rPr>
              <w:t>，</w:t>
            </w:r>
            <w:r>
              <w:rPr>
                <w:rFonts w:hint="eastAsia" w:ascii="宋体" w:hAnsi="宋体" w:cs="宋体"/>
                <w:color w:val="auto"/>
                <w:kern w:val="0"/>
                <w:highlight w:val="none"/>
              </w:rPr>
              <w:t>对外公示建设工程规划许可证及建设工程设计方案总平面图的</w:t>
            </w:r>
          </w:p>
        </w:tc>
        <w:tc>
          <w:tcPr>
            <w:tcW w:w="5286" w:type="dxa"/>
            <w:vMerge w:val="restart"/>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s="宋体"/>
                <w:color w:val="auto"/>
                <w:kern w:val="0"/>
                <w:highlight w:val="none"/>
              </w:rPr>
            </w:pPr>
            <w:r>
              <w:rPr>
                <w:rFonts w:hint="eastAsia" w:ascii="宋体" w:hAnsi="宋体" w:cs="宋体"/>
                <w:color w:val="auto"/>
                <w:kern w:val="0"/>
                <w:highlight w:val="none"/>
              </w:rPr>
              <w:t>《厦门市城乡规划条例》第三十八条  建设单位或者个人在建设工程开工前，应当在施工现场设立建设工程规划许可公告牌，对外公示建设工程规划许可证及建设工程设计方案总平面图，并在建设工程竣工验收前，保持公告牌及其内容的完整。</w:t>
            </w:r>
          </w:p>
        </w:tc>
        <w:tc>
          <w:tcPr>
            <w:tcW w:w="2379" w:type="dxa"/>
            <w:vMerge w:val="restart"/>
            <w:tcBorders>
              <w:top w:val="nil"/>
              <w:left w:val="single" w:color="auto" w:sz="4" w:space="0"/>
              <w:bottom w:val="single" w:color="auto" w:sz="4" w:space="0"/>
              <w:right w:val="single" w:color="auto" w:sz="4" w:space="0"/>
            </w:tcBorders>
            <w:vAlign w:val="center"/>
          </w:tcPr>
          <w:p>
            <w:pPr>
              <w:widowControl/>
              <w:spacing w:line="280" w:lineRule="exact"/>
              <w:rPr>
                <w:rFonts w:ascii="宋体" w:cs="宋体"/>
                <w:color w:val="auto"/>
                <w:kern w:val="0"/>
                <w:highlight w:val="none"/>
              </w:rPr>
            </w:pPr>
            <w:r>
              <w:rPr>
                <w:rFonts w:hint="eastAsia" w:ascii="宋体" w:hAnsi="宋体" w:cs="宋体"/>
                <w:color w:val="auto"/>
                <w:kern w:val="0"/>
                <w:highlight w:val="none"/>
              </w:rPr>
              <w:t>《厦门市城乡规划条例》第五十九条  违反本条例第三十八条规定，未在施工现场设立建设工程规划许可公告牌，对外公示建设工程规划许可证以及建设工程设计方案总平面图的，由城市管理行政执法部门责令限期改正；逾期未改正的，处以一万元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不予处罚</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及时改正，没有造成危害后果</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w:t>
            </w:r>
          </w:p>
        </w:tc>
        <w:tc>
          <w:tcPr>
            <w:tcW w:w="1046" w:type="dxa"/>
            <w:vMerge w:val="restart"/>
            <w:tcBorders>
              <w:top w:val="nil"/>
              <w:left w:val="nil"/>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lang w:eastAsia="zh-CN"/>
              </w:rPr>
              <w:t>此项处罚不</w:t>
            </w:r>
            <w:r>
              <w:rPr>
                <w:rFonts w:hint="eastAsia" w:ascii="宋体" w:hAnsi="宋体" w:cs="宋体"/>
                <w:color w:val="auto"/>
                <w:kern w:val="0"/>
                <w:highlight w:val="none"/>
              </w:rPr>
              <w:t>涉及裁量权</w:t>
            </w:r>
            <w:r>
              <w:rPr>
                <w:rFonts w:hint="eastAsia" w:ascii="宋体" w:hAnsi="宋体" w:cs="宋体"/>
                <w:color w:val="auto"/>
                <w:kern w:val="0"/>
                <w:highlight w:val="none"/>
                <w:lang w:eastAsia="zh-CN"/>
              </w:rPr>
              <w:t>基准</w:t>
            </w:r>
            <w:r>
              <w:rPr>
                <w:rFonts w:hint="eastAsia" w:ascii="宋体" w:hAnsi="宋体" w:cs="宋体"/>
                <w:color w:val="auto"/>
                <w:kern w:val="0"/>
                <w:highlight w:val="none"/>
              </w:rPr>
              <w:t>　</w:t>
            </w:r>
          </w:p>
          <w:p>
            <w:pPr>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3486"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处罚</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逾期未改正的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责令限期改正；逾期未改正的，处以一万元罚款</w:t>
            </w:r>
          </w:p>
        </w:tc>
        <w:tc>
          <w:tcPr>
            <w:tcW w:w="1046" w:type="dxa"/>
            <w:vMerge w:val="continue"/>
            <w:tcBorders>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r>
      <w:tr>
        <w:tblPrEx>
          <w:tblCellMar>
            <w:top w:w="0" w:type="dxa"/>
            <w:left w:w="108" w:type="dxa"/>
            <w:bottom w:w="0" w:type="dxa"/>
            <w:right w:w="108" w:type="dxa"/>
          </w:tblCellMar>
        </w:tblPrEx>
        <w:trPr>
          <w:jc w:val="center"/>
        </w:trPr>
        <w:tc>
          <w:tcPr>
            <w:tcW w:w="653"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8</w:t>
            </w:r>
          </w:p>
        </w:tc>
        <w:tc>
          <w:tcPr>
            <w:tcW w:w="1216"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未经建设工程复测，擅自继续建设的</w:t>
            </w:r>
          </w:p>
        </w:tc>
        <w:tc>
          <w:tcPr>
            <w:tcW w:w="5286"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《厦门市城乡规划条例》第三十九条第二款  建筑工程的基础施工达到设计标高时，建设单位或者个人应当通知原放线单位进行复测，经市规划主管部门验线合格后方可继续建设。</w:t>
            </w:r>
          </w:p>
        </w:tc>
        <w:tc>
          <w:tcPr>
            <w:tcW w:w="2379"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《厦门市城乡规划条例》第六十条  违反本条例第三十九条第二款规定，未经建设工程复测，擅自继续建设的，由城市管理行政执法部门责令改正，处以一万元以上五万元以下罚款。</w:t>
            </w: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有通知原放线单位进行复测，而未经规划主管部门验线合格继续建设的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责令改正，处以一万元以上三万元以下罚款</w:t>
            </w:r>
          </w:p>
        </w:tc>
        <w:tc>
          <w:tcPr>
            <w:tcW w:w="104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2459" w:hRule="atLeast"/>
          <w:jc w:val="center"/>
        </w:trPr>
        <w:tc>
          <w:tcPr>
            <w:tcW w:w="653"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172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未通知原放线单位进行复测，继续建设的</w:t>
            </w:r>
          </w:p>
        </w:tc>
        <w:tc>
          <w:tcPr>
            <w:tcW w:w="1575"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责令改正，处以三万元以上五万元以下罚款</w:t>
            </w:r>
          </w:p>
        </w:tc>
        <w:tc>
          <w:tcPr>
            <w:tcW w:w="1046"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53" w:type="dxa"/>
            <w:vMerge w:val="restart"/>
            <w:tcBorders>
              <w:top w:val="nil"/>
              <w:left w:val="single" w:color="auto" w:sz="4" w:space="0"/>
              <w:right w:val="single" w:color="auto" w:sz="4" w:space="0"/>
            </w:tcBorders>
            <w:vAlign w:val="center"/>
          </w:tcPr>
          <w:p>
            <w:pPr>
              <w:spacing w:line="320" w:lineRule="exact"/>
              <w:jc w:val="center"/>
              <w:rPr>
                <w:rFonts w:ascii="宋体" w:hAnsi="宋体" w:cs="宋体"/>
                <w:color w:val="auto"/>
                <w:kern w:val="0"/>
                <w:highlight w:val="none"/>
              </w:rPr>
            </w:pPr>
            <w:r>
              <w:rPr>
                <w:rFonts w:ascii="宋体" w:hAnsi="宋体" w:cs="宋体"/>
                <w:color w:val="auto"/>
                <w:kern w:val="0"/>
                <w:highlight w:val="none"/>
              </w:rPr>
              <w:t>9</w:t>
            </w:r>
          </w:p>
        </w:tc>
        <w:tc>
          <w:tcPr>
            <w:tcW w:w="1216"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color w:val="auto"/>
                <w:kern w:val="0"/>
                <w:highlight w:val="none"/>
              </w:rPr>
            </w:pPr>
            <w:r>
              <w:rPr>
                <w:rFonts w:hint="eastAsia" w:ascii="宋体" w:hAnsi="宋体" w:cs="宋体"/>
                <w:color w:val="auto"/>
                <w:kern w:val="0"/>
                <w:highlight w:val="none"/>
              </w:rPr>
              <w:t>未按照临时建设工程规划许可证进行建设的</w:t>
            </w:r>
          </w:p>
        </w:tc>
        <w:tc>
          <w:tcPr>
            <w:tcW w:w="5286"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auto"/>
                <w:kern w:val="0"/>
                <w:highlight w:val="none"/>
              </w:rPr>
            </w:pPr>
            <w:r>
              <w:rPr>
                <w:rFonts w:hint="eastAsia" w:ascii="宋体" w:hAnsi="宋体" w:cs="宋体"/>
                <w:color w:val="auto"/>
                <w:kern w:val="0"/>
                <w:highlight w:val="none"/>
              </w:rPr>
              <w:t>《厦门市城乡规划条例》第三十三条第一款  建设单位或者个人依法进行临时建设的，应当持使用土地的有关证明文件、建设项目相关批准文件、施工图等材料向市城乡规划主管部门申请临时建设工程规划许可证。</w:t>
            </w:r>
          </w:p>
        </w:tc>
        <w:tc>
          <w:tcPr>
            <w:tcW w:w="2379"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color w:val="auto"/>
                <w:kern w:val="0"/>
                <w:highlight w:val="none"/>
              </w:rPr>
            </w:pPr>
            <w:r>
              <w:rPr>
                <w:rFonts w:hint="eastAsia" w:ascii="宋体" w:hAnsi="宋体" w:cs="宋体"/>
                <w:color w:val="auto"/>
                <w:kern w:val="0"/>
                <w:highlight w:val="none"/>
              </w:rPr>
              <w:t xml:space="preserve">《厦门市城乡规划条例》第六十一条 </w:t>
            </w:r>
            <w:r>
              <w:rPr>
                <w:rFonts w:ascii="宋体"/>
                <w:color w:val="auto"/>
                <w:kern w:val="0"/>
                <w:highlight w:val="none"/>
              </w:rPr>
              <w:t> </w:t>
            </w:r>
            <w:r>
              <w:rPr>
                <w:rFonts w:hint="eastAsia" w:ascii="宋体" w:hAnsi="宋体" w:cs="宋体"/>
                <w:color w:val="auto"/>
                <w:kern w:val="0"/>
                <w:highlight w:val="none"/>
              </w:rPr>
              <w:t>违反本条例规定，建设单位未按照临时建设工程规划许可证进行建设的，由城市管理行政执法部门责令限期改正</w:t>
            </w:r>
            <w:r>
              <w:rPr>
                <w:rFonts w:ascii="宋体" w:hAnsi="宋体" w:cs="宋体"/>
                <w:color w:val="auto"/>
                <w:kern w:val="0"/>
                <w:highlight w:val="none"/>
              </w:rPr>
              <w:t>;</w:t>
            </w:r>
            <w:r>
              <w:rPr>
                <w:rFonts w:hint="eastAsia" w:ascii="宋体" w:hAnsi="宋体" w:cs="宋体"/>
                <w:color w:val="auto"/>
                <w:kern w:val="0"/>
                <w:highlight w:val="none"/>
              </w:rPr>
              <w:t>逾期不改正的，予以拆除，可以并处临时建设工程造价一倍以下的罚款。</w:t>
            </w: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spacing w:val="-6"/>
                <w:kern w:val="0"/>
                <w:highlight w:val="none"/>
              </w:rPr>
              <w:t>超建面积占审批面积的</w:t>
            </w:r>
            <w:r>
              <w:rPr>
                <w:rFonts w:hint="eastAsia" w:ascii="宋体" w:hAnsi="宋体" w:cs="宋体"/>
                <w:color w:val="auto"/>
                <w:spacing w:val="-6"/>
                <w:kern w:val="0"/>
                <w:highlight w:val="none"/>
                <w:lang w:val="en-US" w:eastAsia="zh-CN"/>
              </w:rPr>
              <w:t>5%</w:t>
            </w:r>
            <w:r>
              <w:rPr>
                <w:rFonts w:hint="eastAsia" w:ascii="宋体" w:hAnsi="宋体" w:cs="宋体"/>
                <w:color w:val="auto"/>
                <w:spacing w:val="-6"/>
                <w:kern w:val="0"/>
                <w:highlight w:val="none"/>
              </w:rPr>
              <w:t>以下</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spacing w:val="-6"/>
                <w:kern w:val="0"/>
                <w:highlight w:val="none"/>
              </w:rPr>
              <w:t>责令限期拆除，可并处临时建设工程造价零点五倍以下罚款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p>
        </w:tc>
      </w:tr>
      <w:tr>
        <w:tblPrEx>
          <w:tblCellMar>
            <w:top w:w="0" w:type="dxa"/>
            <w:left w:w="108" w:type="dxa"/>
            <w:bottom w:w="0" w:type="dxa"/>
            <w:right w:w="108" w:type="dxa"/>
          </w:tblCellMar>
        </w:tblPrEx>
        <w:trPr>
          <w:jc w:val="center"/>
        </w:trPr>
        <w:tc>
          <w:tcPr>
            <w:tcW w:w="653" w:type="dxa"/>
            <w:vMerge w:val="continue"/>
            <w:tcBorders>
              <w:left w:val="single" w:color="auto" w:sz="4" w:space="0"/>
              <w:right w:val="single" w:color="auto" w:sz="4" w:space="0"/>
            </w:tcBorders>
            <w:vAlign w:val="center"/>
          </w:tcPr>
          <w:p>
            <w:pPr>
              <w:widowControl/>
              <w:spacing w:line="320" w:lineRule="exact"/>
              <w:jc w:val="center"/>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rPr>
                <w:rFonts w:ascii="宋体"/>
                <w:color w:val="auto"/>
                <w:kern w:val="0"/>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spacing w:val="-6"/>
                <w:kern w:val="0"/>
                <w:highlight w:val="none"/>
              </w:rPr>
              <w:t>超建面积占审批面积的</w:t>
            </w:r>
            <w:r>
              <w:rPr>
                <w:rFonts w:hint="eastAsia" w:ascii="宋体" w:hAnsi="宋体" w:cs="宋体"/>
                <w:color w:val="auto"/>
                <w:spacing w:val="-6"/>
                <w:kern w:val="0"/>
                <w:highlight w:val="none"/>
                <w:lang w:val="en-US" w:eastAsia="zh-CN"/>
              </w:rPr>
              <w:t>5%以上15%</w:t>
            </w:r>
            <w:r>
              <w:rPr>
                <w:rFonts w:hint="eastAsia" w:ascii="宋体" w:hAnsi="宋体" w:cs="宋体"/>
                <w:color w:val="auto"/>
                <w:spacing w:val="-6"/>
                <w:kern w:val="0"/>
                <w:highlight w:val="none"/>
              </w:rPr>
              <w:t>以下的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spacing w:val="-6"/>
                <w:kern w:val="0"/>
                <w:highlight w:val="none"/>
              </w:rPr>
              <w:t>责令限期拆除</w:t>
            </w:r>
            <w:r>
              <w:rPr>
                <w:rFonts w:ascii="宋体" w:hAnsi="宋体" w:cs="宋体"/>
                <w:color w:val="auto"/>
                <w:spacing w:val="-6"/>
                <w:kern w:val="0"/>
                <w:highlight w:val="none"/>
              </w:rPr>
              <w:t>,</w:t>
            </w:r>
            <w:r>
              <w:rPr>
                <w:rFonts w:hint="eastAsia" w:ascii="宋体" w:hAnsi="宋体" w:cs="宋体"/>
                <w:color w:val="auto"/>
                <w:spacing w:val="-6"/>
                <w:kern w:val="0"/>
                <w:highlight w:val="none"/>
              </w:rPr>
              <w:t>可以并处临时建设工程造价零点五倍以上零点八倍以下的罚款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3427" w:hRule="atLeast"/>
          <w:jc w:val="center"/>
        </w:trPr>
        <w:tc>
          <w:tcPr>
            <w:tcW w:w="653" w:type="dxa"/>
            <w:vMerge w:val="continue"/>
            <w:tcBorders>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spacing w:val="-6"/>
                <w:kern w:val="0"/>
                <w:highlight w:val="none"/>
              </w:rPr>
              <w:t>超建面积占审批面积的</w:t>
            </w:r>
            <w:r>
              <w:rPr>
                <w:rFonts w:hint="eastAsia" w:ascii="宋体" w:hAnsi="宋体" w:cs="宋体"/>
                <w:color w:val="auto"/>
                <w:spacing w:val="-6"/>
                <w:kern w:val="0"/>
                <w:highlight w:val="none"/>
                <w:lang w:val="en-US" w:eastAsia="zh-CN"/>
              </w:rPr>
              <w:t>15%</w:t>
            </w:r>
            <w:r>
              <w:rPr>
                <w:rFonts w:hint="eastAsia" w:ascii="宋体" w:hAnsi="宋体" w:cs="宋体"/>
                <w:color w:val="auto"/>
                <w:spacing w:val="-6"/>
                <w:kern w:val="0"/>
                <w:highlight w:val="none"/>
              </w:rPr>
              <w:t>以上的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spacing w:val="-6"/>
                <w:kern w:val="0"/>
                <w:highlight w:val="none"/>
              </w:rPr>
              <w:t>责令限期拆除</w:t>
            </w:r>
            <w:r>
              <w:rPr>
                <w:rFonts w:ascii="宋体" w:hAnsi="宋体" w:cs="宋体"/>
                <w:color w:val="auto"/>
                <w:spacing w:val="-6"/>
                <w:kern w:val="0"/>
                <w:highlight w:val="none"/>
              </w:rPr>
              <w:t>,</w:t>
            </w:r>
            <w:r>
              <w:rPr>
                <w:rFonts w:hint="eastAsia" w:ascii="宋体" w:hAnsi="宋体" w:cs="宋体"/>
                <w:color w:val="auto"/>
                <w:spacing w:val="-6"/>
                <w:kern w:val="0"/>
                <w:highlight w:val="none"/>
              </w:rPr>
              <w:t>并处临时建设工程造价零点八倍以上一倍以下的罚款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5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10</w:t>
            </w:r>
          </w:p>
        </w:tc>
        <w:tc>
          <w:tcPr>
            <w:tcW w:w="12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擅自改变建筑物、构筑物和其他设施使用功能影响城乡规划实施的</w:t>
            </w:r>
          </w:p>
        </w:tc>
        <w:tc>
          <w:tcPr>
            <w:tcW w:w="52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《厦门市城乡规划条例》第四十三条  建设工程竣工验收后，未经市城乡规划主管部门规划许可，任何单位和个人不得擅自改建、扩建或者改变建筑物、构筑物和其他设施使用功能。确需改建、扩建或者改变使用功能的，应当按照本条例第二十八条、第三十条的规定重新申办规划许可。</w:t>
            </w:r>
          </w:p>
        </w:tc>
        <w:tc>
          <w:tcPr>
            <w:tcW w:w="237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s="宋体"/>
                <w:color w:val="auto"/>
                <w:kern w:val="0"/>
                <w:highlight w:val="none"/>
              </w:rPr>
            </w:pPr>
            <w:r>
              <w:rPr>
                <w:rFonts w:hint="eastAsia" w:ascii="宋体" w:hAnsi="宋体" w:cs="宋体"/>
                <w:color w:val="auto"/>
                <w:kern w:val="0"/>
                <w:highlight w:val="none"/>
              </w:rPr>
              <w:t>《厦门市城乡规划条例》第六十二条  违反本条例第四十三条规定，建设工程竣工验收后，擅自改变建筑物、构筑物和其他设施使用功能影响城乡规划实施的，由城市管理行政执法部门责令限期改正，处以每平方米五十元以上二百元以下的罚款。</w:t>
            </w:r>
          </w:p>
        </w:tc>
        <w:tc>
          <w:tcPr>
            <w:tcW w:w="86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jc w:val="both"/>
              <w:rPr>
                <w:rFonts w:ascii="宋体" w:cs="宋体"/>
                <w:color w:val="auto"/>
                <w:kern w:val="0"/>
                <w:highlight w:val="none"/>
              </w:rPr>
            </w:pPr>
            <w:r>
              <w:rPr>
                <w:rFonts w:hint="eastAsia" w:ascii="宋体" w:hAnsi="宋体" w:cs="宋体"/>
                <w:color w:val="auto"/>
                <w:kern w:val="0"/>
                <w:highlight w:val="none"/>
              </w:rPr>
              <w:t>擅自改变建筑物、构筑物和其他设施使用功能影响城乡规划实施，改变面积占总建筑面积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以下的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责令限期改正，处以每平方米五十元以上一百元以下的罚款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jc w:val="both"/>
              <w:rPr>
                <w:rFonts w:ascii="宋体" w:cs="宋体"/>
                <w:color w:val="auto"/>
                <w:kern w:val="0"/>
                <w:highlight w:val="none"/>
              </w:rPr>
            </w:pPr>
            <w:r>
              <w:rPr>
                <w:rFonts w:hint="eastAsia" w:ascii="宋体" w:hAnsi="宋体" w:cs="宋体"/>
                <w:color w:val="auto"/>
                <w:kern w:val="0"/>
                <w:highlight w:val="none"/>
              </w:rPr>
              <w:t>擅自改变建筑物、构筑物和其他设施使用功能影响城乡规划实施，改变面积占总建筑面积</w:t>
            </w:r>
            <w:r>
              <w:rPr>
                <w:rFonts w:hint="eastAsia" w:ascii="宋体" w:hAnsi="宋体" w:cs="宋体"/>
                <w:color w:val="auto"/>
                <w:kern w:val="0"/>
                <w:highlight w:val="none"/>
                <w:lang w:val="en-US" w:eastAsia="zh-CN"/>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以下的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责令限期改正，处以每平方米一百元以上一百五十元以下的罚款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r>
        <w:tblPrEx>
          <w:tblCellMar>
            <w:top w:w="0" w:type="dxa"/>
            <w:left w:w="108" w:type="dxa"/>
            <w:bottom w:w="0" w:type="dxa"/>
            <w:right w:w="108" w:type="dxa"/>
          </w:tblCellMar>
        </w:tblPrEx>
        <w:trPr>
          <w:trHeight w:val="2570" w:hRule="atLeast"/>
          <w:jc w:val="center"/>
        </w:trPr>
        <w:tc>
          <w:tcPr>
            <w:tcW w:w="65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12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52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237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c>
          <w:tcPr>
            <w:tcW w:w="862"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1725" w:type="dxa"/>
            <w:tcBorders>
              <w:top w:val="single" w:color="auto" w:sz="4" w:space="0"/>
              <w:left w:val="single" w:color="auto" w:sz="4" w:space="0"/>
              <w:bottom w:val="single" w:color="auto" w:sz="4" w:space="0"/>
              <w:right w:val="single" w:color="auto" w:sz="4" w:space="0"/>
            </w:tcBorders>
            <w:vAlign w:val="center"/>
          </w:tcPr>
          <w:p>
            <w:pPr>
              <w:widowControl w:val="0"/>
              <w:spacing w:line="240" w:lineRule="auto"/>
              <w:jc w:val="both"/>
              <w:rPr>
                <w:rFonts w:ascii="宋体"/>
                <w:color w:val="auto"/>
                <w:kern w:val="0"/>
                <w:highlight w:val="none"/>
              </w:rPr>
            </w:pPr>
            <w:r>
              <w:rPr>
                <w:rFonts w:hint="eastAsia" w:ascii="宋体" w:hAnsi="宋体" w:cs="宋体"/>
                <w:color w:val="auto"/>
                <w:kern w:val="0"/>
                <w:highlight w:val="none"/>
              </w:rPr>
              <w:t>擅自改变建筑物、构筑物和其他设施使用功能影响城乡规划实施，改变面积总建筑面积</w:t>
            </w:r>
            <w:r>
              <w:rPr>
                <w:rFonts w:hint="eastAsia" w:ascii="宋体" w:hAnsi="宋体" w:cs="宋体"/>
                <w:color w:val="auto"/>
                <w:kern w:val="0"/>
                <w:highlight w:val="none"/>
                <w:lang w:val="en-US" w:eastAsia="zh-CN"/>
              </w:rPr>
              <w:t>15%</w:t>
            </w:r>
            <w:r>
              <w:rPr>
                <w:rFonts w:hint="eastAsia" w:ascii="宋体" w:hAnsi="宋体" w:cs="宋体"/>
                <w:color w:val="auto"/>
                <w:kern w:val="0"/>
                <w:highlight w:val="none"/>
              </w:rPr>
              <w:t>以上的</w:t>
            </w:r>
          </w:p>
        </w:tc>
        <w:tc>
          <w:tcPr>
            <w:tcW w:w="1575"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责令限期改正，处以每平方米一百五十元以上二百元以下的罚款</w:t>
            </w:r>
          </w:p>
        </w:tc>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　</w:t>
            </w:r>
          </w:p>
        </w:tc>
      </w:tr>
    </w:tbl>
    <w:p>
      <w:pPr>
        <w:spacing w:line="320" w:lineRule="exact"/>
        <w:rPr>
          <w:rFonts w:ascii="宋体"/>
          <w:color w:val="000000"/>
          <w:highlight w:val="none"/>
        </w:rPr>
      </w:pPr>
    </w:p>
    <w:p>
      <w:pPr>
        <w:rPr>
          <w:highlight w:val="none"/>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7</w:t>
    </w:r>
    <w:r>
      <w:rPr>
        <w:rStyle w:val="12"/>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zN2ZkZmIxZmJmODQ4OTNjYTBhOThiYjQ1YjM3ZjcifQ=="/>
  </w:docVars>
  <w:rsids>
    <w:rsidRoot w:val="005D4F1E"/>
    <w:rsid w:val="0000356E"/>
    <w:rsid w:val="000304CA"/>
    <w:rsid w:val="00032369"/>
    <w:rsid w:val="00042D37"/>
    <w:rsid w:val="00047C1B"/>
    <w:rsid w:val="00076B37"/>
    <w:rsid w:val="000847B1"/>
    <w:rsid w:val="00090816"/>
    <w:rsid w:val="00096A08"/>
    <w:rsid w:val="000A2CCE"/>
    <w:rsid w:val="000A3735"/>
    <w:rsid w:val="000C50D5"/>
    <w:rsid w:val="000F11F8"/>
    <w:rsid w:val="00102FAD"/>
    <w:rsid w:val="00134C08"/>
    <w:rsid w:val="0014336E"/>
    <w:rsid w:val="0017510C"/>
    <w:rsid w:val="00177968"/>
    <w:rsid w:val="00192CDD"/>
    <w:rsid w:val="001C1CA2"/>
    <w:rsid w:val="001C5923"/>
    <w:rsid w:val="001D16DE"/>
    <w:rsid w:val="001D6D36"/>
    <w:rsid w:val="001E45D9"/>
    <w:rsid w:val="001F7C31"/>
    <w:rsid w:val="00200C53"/>
    <w:rsid w:val="00224BF1"/>
    <w:rsid w:val="002265EE"/>
    <w:rsid w:val="0025284B"/>
    <w:rsid w:val="00264206"/>
    <w:rsid w:val="0027784B"/>
    <w:rsid w:val="002D1784"/>
    <w:rsid w:val="002D3CFE"/>
    <w:rsid w:val="002D58DF"/>
    <w:rsid w:val="002E0DDC"/>
    <w:rsid w:val="002F22FF"/>
    <w:rsid w:val="002F52BC"/>
    <w:rsid w:val="00312081"/>
    <w:rsid w:val="00312DA3"/>
    <w:rsid w:val="00335AD4"/>
    <w:rsid w:val="003930E4"/>
    <w:rsid w:val="003A1CD1"/>
    <w:rsid w:val="003B1405"/>
    <w:rsid w:val="003B2408"/>
    <w:rsid w:val="003B378F"/>
    <w:rsid w:val="003C1A3D"/>
    <w:rsid w:val="003D73DE"/>
    <w:rsid w:val="003E2268"/>
    <w:rsid w:val="003F283F"/>
    <w:rsid w:val="003F4A4A"/>
    <w:rsid w:val="00402F02"/>
    <w:rsid w:val="004135D6"/>
    <w:rsid w:val="0042319B"/>
    <w:rsid w:val="0044398A"/>
    <w:rsid w:val="00462C00"/>
    <w:rsid w:val="00473D26"/>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C6956"/>
    <w:rsid w:val="005D1DFB"/>
    <w:rsid w:val="005D4F1E"/>
    <w:rsid w:val="005E49B7"/>
    <w:rsid w:val="006149A3"/>
    <w:rsid w:val="006207A4"/>
    <w:rsid w:val="006209EF"/>
    <w:rsid w:val="0062790C"/>
    <w:rsid w:val="00633344"/>
    <w:rsid w:val="006351CD"/>
    <w:rsid w:val="00663131"/>
    <w:rsid w:val="00663188"/>
    <w:rsid w:val="0067787C"/>
    <w:rsid w:val="006913CF"/>
    <w:rsid w:val="00692A5C"/>
    <w:rsid w:val="00697966"/>
    <w:rsid w:val="006A7621"/>
    <w:rsid w:val="006B1053"/>
    <w:rsid w:val="006B200A"/>
    <w:rsid w:val="006B420D"/>
    <w:rsid w:val="006B77B6"/>
    <w:rsid w:val="006C002C"/>
    <w:rsid w:val="006C2578"/>
    <w:rsid w:val="006D6704"/>
    <w:rsid w:val="00715E5E"/>
    <w:rsid w:val="00726D62"/>
    <w:rsid w:val="0075457E"/>
    <w:rsid w:val="00755BE1"/>
    <w:rsid w:val="00762B98"/>
    <w:rsid w:val="0077648D"/>
    <w:rsid w:val="00793851"/>
    <w:rsid w:val="007A6CE2"/>
    <w:rsid w:val="007B006C"/>
    <w:rsid w:val="007B50B6"/>
    <w:rsid w:val="007C7FA8"/>
    <w:rsid w:val="007D6EA1"/>
    <w:rsid w:val="007F5C8B"/>
    <w:rsid w:val="00817E3D"/>
    <w:rsid w:val="00832855"/>
    <w:rsid w:val="00851CE0"/>
    <w:rsid w:val="008565AB"/>
    <w:rsid w:val="00882004"/>
    <w:rsid w:val="008A4A7D"/>
    <w:rsid w:val="008D04D2"/>
    <w:rsid w:val="008D15BB"/>
    <w:rsid w:val="008E536A"/>
    <w:rsid w:val="008E5506"/>
    <w:rsid w:val="008E7D19"/>
    <w:rsid w:val="008F6CE9"/>
    <w:rsid w:val="0090648D"/>
    <w:rsid w:val="0090799E"/>
    <w:rsid w:val="00913F19"/>
    <w:rsid w:val="00915F1C"/>
    <w:rsid w:val="009166E0"/>
    <w:rsid w:val="00917238"/>
    <w:rsid w:val="00925FC2"/>
    <w:rsid w:val="00926D67"/>
    <w:rsid w:val="00953DED"/>
    <w:rsid w:val="00955900"/>
    <w:rsid w:val="00962172"/>
    <w:rsid w:val="00962CF7"/>
    <w:rsid w:val="00980EBF"/>
    <w:rsid w:val="009C1F8E"/>
    <w:rsid w:val="009C3085"/>
    <w:rsid w:val="009E1C6B"/>
    <w:rsid w:val="009E4164"/>
    <w:rsid w:val="00A00EA0"/>
    <w:rsid w:val="00A420F9"/>
    <w:rsid w:val="00A63E9E"/>
    <w:rsid w:val="00A64E9B"/>
    <w:rsid w:val="00A770C5"/>
    <w:rsid w:val="00A97636"/>
    <w:rsid w:val="00AB2B3C"/>
    <w:rsid w:val="00AC50A2"/>
    <w:rsid w:val="00AE7D0B"/>
    <w:rsid w:val="00AF088D"/>
    <w:rsid w:val="00B1108E"/>
    <w:rsid w:val="00B543DE"/>
    <w:rsid w:val="00B671E7"/>
    <w:rsid w:val="00B7376B"/>
    <w:rsid w:val="00B81680"/>
    <w:rsid w:val="00BA3700"/>
    <w:rsid w:val="00BB209D"/>
    <w:rsid w:val="00BB2A34"/>
    <w:rsid w:val="00BC5835"/>
    <w:rsid w:val="00BD02C5"/>
    <w:rsid w:val="00BD0749"/>
    <w:rsid w:val="00BE2CF1"/>
    <w:rsid w:val="00BF0EB6"/>
    <w:rsid w:val="00C278A2"/>
    <w:rsid w:val="00C30327"/>
    <w:rsid w:val="00C34B68"/>
    <w:rsid w:val="00C505FE"/>
    <w:rsid w:val="00C5696C"/>
    <w:rsid w:val="00C70AE3"/>
    <w:rsid w:val="00C8079B"/>
    <w:rsid w:val="00C85EB3"/>
    <w:rsid w:val="00C92D09"/>
    <w:rsid w:val="00C96E19"/>
    <w:rsid w:val="00CC406B"/>
    <w:rsid w:val="00CD017B"/>
    <w:rsid w:val="00CE2CF1"/>
    <w:rsid w:val="00CE2E17"/>
    <w:rsid w:val="00D0088D"/>
    <w:rsid w:val="00D1355F"/>
    <w:rsid w:val="00D2257A"/>
    <w:rsid w:val="00D5526C"/>
    <w:rsid w:val="00D5553A"/>
    <w:rsid w:val="00D831F4"/>
    <w:rsid w:val="00D844ED"/>
    <w:rsid w:val="00DD38C0"/>
    <w:rsid w:val="00DD47BA"/>
    <w:rsid w:val="00DE3107"/>
    <w:rsid w:val="00E03C22"/>
    <w:rsid w:val="00E06103"/>
    <w:rsid w:val="00E13D4C"/>
    <w:rsid w:val="00E238EB"/>
    <w:rsid w:val="00E4375A"/>
    <w:rsid w:val="00E73E97"/>
    <w:rsid w:val="00E740D2"/>
    <w:rsid w:val="00E77D57"/>
    <w:rsid w:val="00E85C30"/>
    <w:rsid w:val="00EB548F"/>
    <w:rsid w:val="00EF2405"/>
    <w:rsid w:val="00F10D4A"/>
    <w:rsid w:val="00F1198C"/>
    <w:rsid w:val="00F158D7"/>
    <w:rsid w:val="00F175FB"/>
    <w:rsid w:val="00F414FB"/>
    <w:rsid w:val="00F7532C"/>
    <w:rsid w:val="00F8123A"/>
    <w:rsid w:val="00F87A79"/>
    <w:rsid w:val="00FA0002"/>
    <w:rsid w:val="00FB4389"/>
    <w:rsid w:val="00FE11C8"/>
    <w:rsid w:val="00FE3A89"/>
    <w:rsid w:val="00FE6EF1"/>
    <w:rsid w:val="00FF6AA8"/>
    <w:rsid w:val="5DAF0552"/>
    <w:rsid w:val="6A9635FC"/>
    <w:rsid w:val="6EFE7517"/>
    <w:rsid w:val="6F77621F"/>
    <w:rsid w:val="735F7BDF"/>
    <w:rsid w:val="75D3EB95"/>
    <w:rsid w:val="7A6C38E3"/>
    <w:rsid w:val="7B2870B4"/>
    <w:rsid w:val="7DB644AF"/>
    <w:rsid w:val="7DDDCC70"/>
    <w:rsid w:val="7EFB503E"/>
    <w:rsid w:val="7FD7138C"/>
    <w:rsid w:val="7FF5962E"/>
    <w:rsid w:val="A7FFD62A"/>
    <w:rsid w:val="DEFC3202"/>
    <w:rsid w:val="DFEEFC9B"/>
    <w:rsid w:val="DFF35098"/>
    <w:rsid w:val="E1FFE735"/>
    <w:rsid w:val="F5E3B912"/>
    <w:rsid w:val="FD57188B"/>
    <w:rsid w:val="FEB4D3E2"/>
    <w:rsid w:val="FFD65B48"/>
    <w:rsid w:val="FFD6BBCE"/>
    <w:rsid w:val="FFEE00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b/>
      <w:bCs/>
      <w:kern w:val="44"/>
      <w:sz w:val="44"/>
      <w:szCs w:val="4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5433</Words>
  <Characters>5480</Characters>
  <Lines>8</Lines>
  <Paragraphs>12</Paragraphs>
  <TotalTime>1</TotalTime>
  <ScaleCrop>false</ScaleCrop>
  <LinksUpToDate>false</LinksUpToDate>
  <CharactersWithSpaces>5654</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2022-10-16T01:14:00Z</dcterms:created>
  <dc:creator>陈玉珊</dc:creator>
  <cp:lastModifiedBy>xmadmin</cp:lastModifiedBy>
  <cp:lastPrinted>2024-11-13T00:46:00Z</cp:lastPrinted>
  <dcterms:modified xsi:type="dcterms:W3CDTF">2024-11-26T16:53:22Z</dcterms:modified>
  <dc:title>厦门市城市管理行政执法部门</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0C32AB1C1D524348B71902DFFF16364B_12</vt:lpwstr>
  </property>
</Properties>
</file>