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20" w:lineRule="exact"/>
        <w:jc w:val="center"/>
        <w:rPr>
          <w:rFonts w:hint="eastAsia" w:ascii="方正小标宋简体" w:hAnsi="宋体" w:eastAsia="方正小标宋简体" w:cs="方正小标宋简体"/>
          <w:color w:val="000000"/>
          <w:sz w:val="36"/>
          <w:szCs w:val="36"/>
          <w:highlight w:val="none"/>
        </w:rPr>
      </w:pPr>
      <w:r>
        <w:rPr>
          <w:rFonts w:hint="eastAsia" w:ascii="方正小标宋简体" w:hAnsi="宋体" w:eastAsia="方正小标宋简体" w:cs="方正小标宋简体"/>
          <w:color w:val="000000"/>
          <w:sz w:val="36"/>
          <w:szCs w:val="36"/>
          <w:highlight w:val="none"/>
        </w:rPr>
        <w:t>《厦门市城市规划条例》（</w:t>
      </w:r>
      <w:r>
        <w:rPr>
          <w:rFonts w:ascii="方正小标宋简体" w:hAnsi="宋体" w:eastAsia="方正小标宋简体" w:cs="方正小标宋简体"/>
          <w:color w:val="000000"/>
          <w:sz w:val="36"/>
          <w:szCs w:val="36"/>
          <w:highlight w:val="none"/>
        </w:rPr>
        <w:t>1995</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4</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22</w:t>
      </w:r>
      <w:r>
        <w:rPr>
          <w:rFonts w:hint="eastAsia" w:ascii="方正小标宋简体" w:hAnsi="宋体" w:eastAsia="方正小标宋简体" w:cs="方正小标宋简体"/>
          <w:color w:val="000000"/>
          <w:sz w:val="36"/>
          <w:szCs w:val="36"/>
          <w:highlight w:val="none"/>
        </w:rPr>
        <w:t>日通过；经</w:t>
      </w:r>
      <w:r>
        <w:rPr>
          <w:rFonts w:ascii="方正小标宋简体" w:hAnsi="宋体" w:eastAsia="方正小标宋简体" w:cs="方正小标宋简体"/>
          <w:color w:val="000000"/>
          <w:sz w:val="36"/>
          <w:szCs w:val="36"/>
          <w:highlight w:val="none"/>
        </w:rPr>
        <w:t>2002</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7</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4</w:t>
      </w:r>
      <w:r>
        <w:rPr>
          <w:rFonts w:hint="eastAsia" w:ascii="方正小标宋简体" w:hAnsi="宋体" w:eastAsia="方正小标宋简体" w:cs="方正小标宋简体"/>
          <w:color w:val="000000"/>
          <w:sz w:val="36"/>
          <w:szCs w:val="36"/>
          <w:highlight w:val="none"/>
        </w:rPr>
        <w:t>日、</w:t>
      </w:r>
    </w:p>
    <w:p>
      <w:pPr>
        <w:spacing w:afterLines="50" w:line="520" w:lineRule="exact"/>
        <w:jc w:val="center"/>
        <w:rPr>
          <w:rFonts w:ascii="宋体"/>
          <w:b/>
          <w:bCs/>
          <w:color w:val="auto"/>
          <w:highlight w:val="none"/>
        </w:rPr>
      </w:pPr>
      <w:r>
        <w:rPr>
          <w:rFonts w:ascii="方正小标宋简体" w:hAnsi="宋体" w:eastAsia="方正小标宋简体" w:cs="方正小标宋简体"/>
          <w:color w:val="000000"/>
          <w:sz w:val="36"/>
          <w:szCs w:val="36"/>
          <w:highlight w:val="none"/>
        </w:rPr>
        <w:t>2003</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8</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1</w:t>
      </w:r>
      <w:r>
        <w:rPr>
          <w:rFonts w:hint="eastAsia" w:ascii="方正小标宋简体" w:hAnsi="宋体" w:eastAsia="方正小标宋简体" w:cs="方正小标宋简体"/>
          <w:color w:val="000000"/>
          <w:sz w:val="36"/>
          <w:szCs w:val="36"/>
          <w:highlight w:val="none"/>
        </w:rPr>
        <w:t>日、</w:t>
      </w:r>
      <w:r>
        <w:rPr>
          <w:rFonts w:ascii="方正小标宋简体" w:hAnsi="宋体" w:eastAsia="方正小标宋简体" w:cs="方正小标宋简体"/>
          <w:color w:val="000000"/>
          <w:sz w:val="36"/>
          <w:szCs w:val="36"/>
          <w:highlight w:val="none"/>
        </w:rPr>
        <w:t>2005</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6</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2</w:t>
      </w:r>
      <w:r>
        <w:rPr>
          <w:rFonts w:hint="eastAsia" w:ascii="方正小标宋简体" w:hAnsi="宋体" w:eastAsia="方正小标宋简体" w:cs="方正小标宋简体"/>
          <w:color w:val="000000"/>
          <w:sz w:val="36"/>
          <w:szCs w:val="36"/>
          <w:highlight w:val="none"/>
        </w:rPr>
        <w:t>日三次修订</w:t>
      </w:r>
      <w:r>
        <w:rPr>
          <w:rFonts w:hint="eastAsia" w:ascii="方正小标宋简体" w:hAnsi="宋体" w:eastAsia="方正小标宋简体" w:cs="方正小标宋简体"/>
          <w:color w:val="000000"/>
          <w:sz w:val="36"/>
          <w:szCs w:val="36"/>
          <w:highlight w:val="none"/>
          <w:lang w:eastAsia="zh-CN"/>
        </w:rPr>
        <w:t>，</w:t>
      </w:r>
      <w:r>
        <w:rPr>
          <w:rFonts w:ascii="方正小标宋简体" w:hAnsi="宋体" w:eastAsia="方正小标宋简体" w:cs="方正小标宋简体"/>
          <w:color w:val="auto"/>
          <w:sz w:val="36"/>
          <w:szCs w:val="36"/>
          <w:highlight w:val="none"/>
        </w:rPr>
        <w:t>202</w:t>
      </w:r>
      <w:r>
        <w:rPr>
          <w:rFonts w:hint="eastAsia" w:ascii="方正小标宋简体" w:hAnsi="宋体" w:eastAsia="方正小标宋简体" w:cs="方正小标宋简体"/>
          <w:color w:val="auto"/>
          <w:sz w:val="36"/>
          <w:szCs w:val="36"/>
          <w:highlight w:val="none"/>
          <w:lang w:val="en-US" w:eastAsia="zh-CN"/>
        </w:rPr>
        <w:t>4</w:t>
      </w:r>
      <w:r>
        <w:rPr>
          <w:rFonts w:ascii="方正小标宋简体" w:hAnsi="宋体" w:eastAsia="方正小标宋简体" w:cs="方正小标宋简体"/>
          <w:color w:val="auto"/>
          <w:sz w:val="36"/>
          <w:szCs w:val="36"/>
          <w:highlight w:val="none"/>
        </w:rPr>
        <w:t>年</w:t>
      </w:r>
      <w:r>
        <w:rPr>
          <w:rFonts w:hint="eastAsia" w:ascii="方正小标宋简体" w:hAnsi="宋体" w:eastAsia="方正小标宋简体" w:cs="方正小标宋简体"/>
          <w:color w:val="auto"/>
          <w:sz w:val="36"/>
          <w:szCs w:val="36"/>
          <w:highlight w:val="none"/>
        </w:rPr>
        <w:t>修改裁量权基准）</w:t>
      </w:r>
    </w:p>
    <w:tbl>
      <w:tblPr>
        <w:tblStyle w:val="11"/>
        <w:tblW w:w="14742" w:type="dxa"/>
        <w:jc w:val="center"/>
        <w:tblLayout w:type="autofit"/>
        <w:tblCellMar>
          <w:top w:w="0" w:type="dxa"/>
          <w:left w:w="108" w:type="dxa"/>
          <w:bottom w:w="0" w:type="dxa"/>
          <w:right w:w="108" w:type="dxa"/>
        </w:tblCellMar>
      </w:tblPr>
      <w:tblGrid>
        <w:gridCol w:w="780"/>
        <w:gridCol w:w="683"/>
        <w:gridCol w:w="3744"/>
        <w:gridCol w:w="1934"/>
        <w:gridCol w:w="920"/>
        <w:gridCol w:w="4381"/>
        <w:gridCol w:w="1686"/>
        <w:gridCol w:w="614"/>
      </w:tblGrid>
      <w:tr>
        <w:tblPrEx>
          <w:tblCellMar>
            <w:top w:w="0" w:type="dxa"/>
            <w:left w:w="108" w:type="dxa"/>
            <w:bottom w:w="0" w:type="dxa"/>
            <w:right w:w="108" w:type="dxa"/>
          </w:tblCellMar>
        </w:tblPrEx>
        <w:trPr>
          <w:tblHeader/>
          <w:jc w:val="center"/>
        </w:trPr>
        <w:tc>
          <w:tcPr>
            <w:tcW w:w="78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序号</w:t>
            </w:r>
          </w:p>
        </w:tc>
        <w:tc>
          <w:tcPr>
            <w:tcW w:w="68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违法行为</w:t>
            </w:r>
          </w:p>
        </w:tc>
        <w:tc>
          <w:tcPr>
            <w:tcW w:w="3744" w:type="dxa"/>
            <w:vMerge w:val="restart"/>
            <w:tcBorders>
              <w:top w:val="single" w:color="auto" w:sz="4" w:space="0"/>
              <w:left w:val="single" w:color="auto" w:sz="4" w:space="0"/>
              <w:bottom w:val="single" w:color="000000"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定案依据</w:t>
            </w:r>
          </w:p>
        </w:tc>
        <w:tc>
          <w:tcPr>
            <w:tcW w:w="193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处罚依据</w:t>
            </w:r>
          </w:p>
        </w:tc>
        <w:tc>
          <w:tcPr>
            <w:tcW w:w="5301" w:type="dxa"/>
            <w:gridSpan w:val="2"/>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w:t>
            </w:r>
          </w:p>
        </w:tc>
        <w:tc>
          <w:tcPr>
            <w:tcW w:w="16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处罚标准</w:t>
            </w:r>
          </w:p>
        </w:tc>
        <w:tc>
          <w:tcPr>
            <w:tcW w:w="614"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备注</w:t>
            </w:r>
          </w:p>
        </w:tc>
      </w:tr>
      <w:tr>
        <w:tblPrEx>
          <w:tblCellMar>
            <w:top w:w="0" w:type="dxa"/>
            <w:left w:w="108" w:type="dxa"/>
            <w:bottom w:w="0" w:type="dxa"/>
            <w:right w:w="108" w:type="dxa"/>
          </w:tblCellMar>
        </w:tblPrEx>
        <w:trPr>
          <w:tblHeader/>
          <w:jc w:val="center"/>
        </w:trPr>
        <w:tc>
          <w:tcPr>
            <w:tcW w:w="7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68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374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20" w:lineRule="exact"/>
              <w:jc w:val="left"/>
              <w:rPr>
                <w:rFonts w:ascii="宋体"/>
                <w:b/>
                <w:bCs/>
                <w:color w:val="000000"/>
                <w:kern w:val="0"/>
                <w:highlight w:val="none"/>
              </w:rPr>
            </w:pPr>
          </w:p>
        </w:tc>
        <w:tc>
          <w:tcPr>
            <w:tcW w:w="193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情节</w:t>
            </w:r>
          </w:p>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分类</w:t>
            </w:r>
          </w:p>
        </w:tc>
        <w:tc>
          <w:tcPr>
            <w:tcW w:w="4381"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违法情节的详细的描述</w:t>
            </w:r>
          </w:p>
        </w:tc>
        <w:tc>
          <w:tcPr>
            <w:tcW w:w="168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61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0"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1</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严重影响城市规划</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《厦门市城市规划条例》第三十四条第二款  任何单位或者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pPr>
              <w:widowControl/>
              <w:spacing w:line="320" w:lineRule="exact"/>
              <w:jc w:val="left"/>
              <w:rPr>
                <w:rFonts w:ascii="宋体"/>
                <w:color w:val="000000"/>
                <w:kern w:val="0"/>
                <w:highlight w:val="none"/>
              </w:rPr>
            </w:pPr>
            <w:r>
              <w:rPr>
                <w:rFonts w:hint="eastAsia" w:ascii="宋体" w:hAnsi="宋体" w:cs="宋体"/>
                <w:color w:val="000000"/>
                <w:kern w:val="0"/>
                <w:highlight w:val="none"/>
              </w:rPr>
              <w:t>第四十一条第三款  建设单位或者个人和施工单位应当严格按《建设工程规划许可证》核准的设计图纸施工，不得擅自改动。</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《厦门市城市规划条例》第五十五条 未取得《建设工程规划许可证》或者未按照《建设工程规划许可证》的规定进行建设，有下列严重影响城市规划行为之一的，由城市管理行政执法部门责令停止建设并限期拆除，或者没收违法建筑物、构筑物及其他设施：</w:t>
            </w:r>
          </w:p>
        </w:tc>
        <w:tc>
          <w:tcPr>
            <w:tcW w:w="92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4381" w:type="dxa"/>
            <w:vMerge w:val="restart"/>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color w:val="000000"/>
                <w:kern w:val="0"/>
                <w:highlight w:val="none"/>
              </w:rPr>
            </w:pPr>
            <w:r>
              <w:rPr>
                <w:rFonts w:ascii="宋体" w:hAnsi="宋体" w:cs="宋体"/>
                <w:color w:val="000000"/>
                <w:kern w:val="0"/>
                <w:highlight w:val="none"/>
              </w:rPr>
              <w:t>1</w:t>
            </w:r>
            <w:r>
              <w:rPr>
                <w:rFonts w:hint="eastAsia" w:ascii="宋体" w:hAnsi="宋体" w:cs="宋体"/>
                <w:color w:val="000000"/>
                <w:kern w:val="0"/>
                <w:highlight w:val="none"/>
              </w:rPr>
              <w:t>、严重影响城市规划确定的用地结构、空间布局的；</w:t>
            </w:r>
            <w:r>
              <w:rPr>
                <w:rFonts w:ascii="宋体"/>
                <w:color w:val="000000"/>
                <w:kern w:val="0"/>
                <w:highlight w:val="none"/>
              </w:rPr>
              <w:br w:type="textWrapping"/>
            </w:r>
            <w:r>
              <w:rPr>
                <w:rFonts w:ascii="宋体" w:hAnsi="宋体" w:cs="宋体"/>
                <w:color w:val="000000"/>
                <w:kern w:val="0"/>
                <w:highlight w:val="none"/>
              </w:rPr>
              <w:t>2</w:t>
            </w:r>
            <w:r>
              <w:rPr>
                <w:rFonts w:hint="eastAsia" w:ascii="宋体" w:hAnsi="宋体" w:cs="宋体"/>
                <w:color w:val="000000"/>
                <w:kern w:val="0"/>
                <w:highlight w:val="none"/>
              </w:rPr>
              <w:t>、占用城市公共设施、基础设施用地的；</w:t>
            </w:r>
            <w:r>
              <w:rPr>
                <w:rFonts w:ascii="宋体"/>
                <w:color w:val="000000"/>
                <w:kern w:val="0"/>
                <w:highlight w:val="none"/>
              </w:rPr>
              <w:br w:type="textWrapping"/>
            </w:r>
            <w:r>
              <w:rPr>
                <w:rFonts w:ascii="宋体" w:hAnsi="宋体" w:cs="宋体"/>
                <w:color w:val="000000"/>
                <w:kern w:val="0"/>
                <w:highlight w:val="none"/>
              </w:rPr>
              <w:t>3</w:t>
            </w:r>
            <w:r>
              <w:rPr>
                <w:rFonts w:hint="eastAsia" w:ascii="宋体" w:hAnsi="宋体" w:cs="宋体"/>
                <w:color w:val="000000"/>
                <w:kern w:val="0"/>
                <w:highlight w:val="none"/>
              </w:rPr>
              <w:t>、压占建筑退让红线、道路或者在地下管线安全范围内进行建设的；</w:t>
            </w:r>
            <w:r>
              <w:rPr>
                <w:rFonts w:ascii="宋体"/>
                <w:color w:val="000000"/>
                <w:kern w:val="0"/>
                <w:highlight w:val="none"/>
              </w:rPr>
              <w:br w:type="textWrapping"/>
            </w:r>
            <w:r>
              <w:rPr>
                <w:rFonts w:ascii="宋体" w:hAnsi="宋体" w:cs="宋体"/>
                <w:color w:val="000000"/>
                <w:kern w:val="0"/>
                <w:highlight w:val="none"/>
              </w:rPr>
              <w:t>4</w:t>
            </w:r>
            <w:r>
              <w:rPr>
                <w:rFonts w:hint="eastAsia" w:ascii="宋体" w:hAnsi="宋体" w:cs="宋体"/>
                <w:color w:val="000000"/>
                <w:kern w:val="0"/>
                <w:highlight w:val="none"/>
              </w:rPr>
              <w:t>、影响城市消防、防洪、抗震、供电、供水、供气、有线电视网络安全的；</w:t>
            </w:r>
            <w:r>
              <w:rPr>
                <w:rFonts w:ascii="宋体"/>
                <w:color w:val="000000"/>
                <w:kern w:val="0"/>
                <w:highlight w:val="none"/>
              </w:rPr>
              <w:br w:type="textWrapping"/>
            </w:r>
            <w:r>
              <w:rPr>
                <w:rFonts w:ascii="宋体" w:hAnsi="宋体" w:cs="宋体"/>
                <w:color w:val="000000"/>
                <w:kern w:val="0"/>
                <w:highlight w:val="none"/>
              </w:rPr>
              <w:t>5</w:t>
            </w:r>
            <w:r>
              <w:rPr>
                <w:rFonts w:hint="eastAsia" w:ascii="宋体" w:hAnsi="宋体" w:cs="宋体"/>
                <w:color w:val="000000"/>
                <w:kern w:val="0"/>
                <w:highlight w:val="none"/>
              </w:rPr>
              <w:t>、影响机场净空控制、微波通讯通道及高压供电走廊的；</w:t>
            </w:r>
            <w:r>
              <w:rPr>
                <w:rFonts w:ascii="宋体"/>
                <w:color w:val="000000"/>
                <w:kern w:val="0"/>
                <w:highlight w:val="none"/>
              </w:rPr>
              <w:br w:type="textWrapping"/>
            </w:r>
            <w:r>
              <w:rPr>
                <w:rFonts w:ascii="宋体" w:hAnsi="宋体" w:cs="宋体"/>
                <w:color w:val="000000"/>
                <w:kern w:val="0"/>
                <w:highlight w:val="none"/>
              </w:rPr>
              <w:t>6</w:t>
            </w:r>
            <w:r>
              <w:rPr>
                <w:rFonts w:hint="eastAsia" w:ascii="宋体" w:hAnsi="宋体" w:cs="宋体"/>
                <w:color w:val="000000"/>
                <w:kern w:val="0"/>
                <w:highlight w:val="none"/>
              </w:rPr>
              <w:t>、污染城市环境、影响城市市容观瞻的；</w:t>
            </w:r>
            <w:r>
              <w:rPr>
                <w:rFonts w:ascii="宋体"/>
                <w:color w:val="000000"/>
                <w:kern w:val="0"/>
                <w:highlight w:val="none"/>
              </w:rPr>
              <w:br w:type="textWrapping"/>
            </w:r>
            <w:r>
              <w:rPr>
                <w:rFonts w:ascii="宋体" w:hAnsi="宋体" w:cs="宋体"/>
                <w:color w:val="000000"/>
                <w:kern w:val="0"/>
                <w:highlight w:val="none"/>
              </w:rPr>
              <w:t>7</w:t>
            </w:r>
            <w:r>
              <w:rPr>
                <w:rFonts w:hint="eastAsia" w:ascii="宋体" w:hAnsi="宋体" w:cs="宋体"/>
                <w:color w:val="000000"/>
                <w:kern w:val="0"/>
                <w:highlight w:val="none"/>
              </w:rPr>
              <w:t>、占用岸线和公共绿地、防护林带的；</w:t>
            </w:r>
            <w:r>
              <w:rPr>
                <w:rFonts w:ascii="宋体"/>
                <w:color w:val="000000"/>
                <w:kern w:val="0"/>
                <w:highlight w:val="none"/>
              </w:rPr>
              <w:br w:type="textWrapping"/>
            </w:r>
            <w:r>
              <w:rPr>
                <w:rFonts w:ascii="宋体" w:hAnsi="宋体" w:cs="宋体"/>
                <w:color w:val="000000"/>
                <w:kern w:val="0"/>
                <w:highlight w:val="none"/>
              </w:rPr>
              <w:t>8</w:t>
            </w:r>
            <w:r>
              <w:rPr>
                <w:rFonts w:hint="eastAsia" w:ascii="宋体" w:hAnsi="宋体" w:cs="宋体"/>
                <w:color w:val="000000"/>
                <w:kern w:val="0"/>
                <w:highlight w:val="none"/>
              </w:rPr>
              <w:t>、破坏或影响公园、风景名胜和文物保护的；</w:t>
            </w:r>
            <w:r>
              <w:rPr>
                <w:rFonts w:ascii="宋体"/>
                <w:color w:val="000000"/>
                <w:kern w:val="0"/>
                <w:highlight w:val="none"/>
              </w:rPr>
              <w:br w:type="textWrapping"/>
            </w:r>
            <w:r>
              <w:rPr>
                <w:rFonts w:ascii="宋体" w:hAnsi="宋体" w:cs="宋体"/>
                <w:color w:val="000000"/>
                <w:kern w:val="0"/>
                <w:highlight w:val="none"/>
              </w:rPr>
              <w:t>9</w:t>
            </w:r>
            <w:r>
              <w:rPr>
                <w:rFonts w:hint="eastAsia" w:ascii="宋体" w:hAnsi="宋体" w:cs="宋体"/>
                <w:color w:val="000000"/>
                <w:kern w:val="0"/>
                <w:highlight w:val="none"/>
              </w:rPr>
              <w:t>、占用廊道、屋顶等及其他公用部分搭建建（构）筑物的；</w:t>
            </w:r>
            <w:r>
              <w:rPr>
                <w:rFonts w:ascii="宋体"/>
                <w:color w:val="000000"/>
                <w:kern w:val="0"/>
                <w:highlight w:val="none"/>
              </w:rPr>
              <w:br w:type="textWrapping"/>
            </w:r>
            <w:r>
              <w:rPr>
                <w:rFonts w:ascii="宋体" w:hAnsi="宋体" w:cs="宋体"/>
                <w:color w:val="000000"/>
                <w:kern w:val="0"/>
                <w:highlight w:val="none"/>
              </w:rPr>
              <w:t>10</w:t>
            </w:r>
            <w:r>
              <w:rPr>
                <w:rFonts w:hint="eastAsia" w:ascii="宋体" w:hAnsi="宋体" w:cs="宋体"/>
                <w:color w:val="000000"/>
                <w:kern w:val="0"/>
                <w:highlight w:val="none"/>
              </w:rPr>
              <w:t>、妨碍国防设施、测量标志进行建设的；</w:t>
            </w:r>
            <w:r>
              <w:rPr>
                <w:rFonts w:ascii="宋体" w:hAnsi="宋体" w:cs="宋体"/>
                <w:color w:val="000000"/>
                <w:kern w:val="0"/>
                <w:highlight w:val="none"/>
              </w:rPr>
              <w:t xml:space="preserve"> </w:t>
            </w:r>
            <w:r>
              <w:rPr>
                <w:rFonts w:ascii="宋体" w:hAnsi="宋体" w:cs="宋体"/>
                <w:color w:val="000000"/>
                <w:kern w:val="0"/>
                <w:highlight w:val="none"/>
              </w:rPr>
              <w:br w:type="textWrapping"/>
            </w:r>
            <w:r>
              <w:rPr>
                <w:rFonts w:ascii="宋体" w:hAnsi="宋体" w:cs="宋体"/>
                <w:color w:val="000000"/>
                <w:kern w:val="0"/>
                <w:highlight w:val="none"/>
              </w:rPr>
              <w:t>11</w:t>
            </w:r>
            <w:r>
              <w:rPr>
                <w:rFonts w:hint="eastAsia" w:ascii="宋体" w:hAnsi="宋体" w:cs="宋体"/>
                <w:color w:val="000000"/>
                <w:kern w:val="0"/>
                <w:highlight w:val="none"/>
              </w:rPr>
              <w:t>、擅自在近期建设规划控制区进行建设的；</w:t>
            </w:r>
            <w:r>
              <w:rPr>
                <w:rFonts w:ascii="宋体"/>
                <w:color w:val="000000"/>
                <w:kern w:val="0"/>
                <w:highlight w:val="none"/>
              </w:rPr>
              <w:br w:type="textWrapping"/>
            </w:r>
            <w:r>
              <w:rPr>
                <w:rFonts w:ascii="宋体" w:hAnsi="宋体" w:cs="宋体"/>
                <w:color w:val="000000"/>
                <w:kern w:val="0"/>
                <w:highlight w:val="none"/>
              </w:rPr>
              <w:t>12</w:t>
            </w:r>
            <w:r>
              <w:rPr>
                <w:rFonts w:hint="eastAsia" w:ascii="宋体" w:hAnsi="宋体" w:cs="宋体"/>
                <w:color w:val="000000"/>
                <w:kern w:val="0"/>
                <w:highlight w:val="none"/>
              </w:rPr>
              <w:t>、擅自在建成的新区或者旧城改造片区内插建的；</w:t>
            </w:r>
            <w:r>
              <w:rPr>
                <w:rFonts w:ascii="宋体"/>
                <w:color w:val="000000"/>
                <w:kern w:val="0"/>
                <w:highlight w:val="none"/>
              </w:rPr>
              <w:br w:type="textWrapping"/>
            </w:r>
            <w:r>
              <w:rPr>
                <w:rFonts w:ascii="宋体" w:hAnsi="宋体" w:cs="宋体"/>
                <w:color w:val="000000"/>
                <w:kern w:val="0"/>
                <w:highlight w:val="none"/>
              </w:rPr>
              <w:t>13</w:t>
            </w:r>
            <w:r>
              <w:rPr>
                <w:rFonts w:hint="eastAsia" w:ascii="宋体" w:hAnsi="宋体" w:cs="宋体"/>
                <w:color w:val="000000"/>
                <w:kern w:val="0"/>
                <w:highlight w:val="none"/>
              </w:rPr>
              <w:t>、临时建（构）筑物以及拆迁红线范围内应当拆除的建（构）筑物逾期不拆除的；</w:t>
            </w:r>
            <w:r>
              <w:rPr>
                <w:rFonts w:ascii="宋体"/>
                <w:color w:val="000000"/>
                <w:kern w:val="0"/>
                <w:highlight w:val="none"/>
              </w:rPr>
              <w:br w:type="textWrapping"/>
            </w:r>
            <w:r>
              <w:rPr>
                <w:rFonts w:ascii="宋体" w:hAnsi="宋体" w:cs="宋体"/>
                <w:color w:val="000000"/>
                <w:kern w:val="0"/>
                <w:highlight w:val="none"/>
              </w:rPr>
              <w:t>14</w:t>
            </w:r>
            <w:r>
              <w:rPr>
                <w:rFonts w:hint="eastAsia" w:ascii="宋体" w:hAnsi="宋体" w:cs="宋体"/>
                <w:color w:val="000000"/>
                <w:kern w:val="0"/>
                <w:highlight w:val="none"/>
              </w:rPr>
              <w:t>、其他严重影响城市规划进行建设的。</w:t>
            </w:r>
          </w:p>
        </w:tc>
        <w:tc>
          <w:tcPr>
            <w:tcW w:w="16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责令停止建设并限期拆除，或者没收违法建筑物、构筑物及其他设施</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FF0000"/>
                <w:kern w:val="0"/>
                <w:highlight w:val="none"/>
              </w:rPr>
            </w:pPr>
            <w:r>
              <w:rPr>
                <w:rFonts w:hint="eastAsia" w:ascii="宋体" w:hAnsi="宋体" w:cs="宋体"/>
                <w:bCs/>
                <w:kern w:val="0"/>
                <w:highlight w:val="none"/>
              </w:rPr>
              <w:t>此项处罚不涉及裁量权基准</w:t>
            </w:r>
            <w:r>
              <w:rPr>
                <w:rFonts w:hint="eastAsia" w:ascii="宋体" w:hAnsi="宋体" w:cs="宋体"/>
                <w:b/>
                <w:bCs/>
                <w:color w:val="FF0000"/>
                <w:kern w:val="0"/>
                <w:highlight w:val="none"/>
              </w:rPr>
              <w:t>　</w:t>
            </w:r>
          </w:p>
        </w:tc>
      </w:tr>
      <w:tr>
        <w:tblPrEx>
          <w:tblCellMar>
            <w:top w:w="0" w:type="dxa"/>
            <w:left w:w="108" w:type="dxa"/>
            <w:bottom w:w="0" w:type="dxa"/>
            <w:right w:w="108" w:type="dxa"/>
          </w:tblCellMar>
        </w:tblPrEx>
        <w:trPr>
          <w:trHeight w:val="320"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0"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2</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违法建设尚可消除影响的</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《厦门市城市规划条例》第三十四条第二款  任何单位或者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pPr>
              <w:widowControl/>
              <w:spacing w:line="320" w:lineRule="exact"/>
              <w:jc w:val="left"/>
              <w:rPr>
                <w:rFonts w:ascii="宋体"/>
                <w:color w:val="000000"/>
                <w:kern w:val="0"/>
                <w:highlight w:val="none"/>
              </w:rPr>
            </w:pPr>
            <w:r>
              <w:rPr>
                <w:rFonts w:hint="eastAsia" w:ascii="宋体" w:hAnsi="宋体" w:cs="宋体"/>
                <w:color w:val="000000"/>
                <w:kern w:val="0"/>
                <w:highlight w:val="none"/>
              </w:rPr>
              <w:t>第四十一条第三款  建设单位或者个人和施工单位应当严格按《建设工程规划许可证》核准的设计图纸施工，不得擅自改动。</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《厦门市城市规划条例》第五十六条 未取得《建设工程规划许可证》或者未按照《建设工程规划许可证》的规定进行建设，对城市规划有影响但尚可采取措施消除的，由城市管理行政执法部门责令停止建设，限期改正，并处以建设工程土建造价的百分之五至三十的罚款；对城市规划建设尚无不良影响的，处以建设工程土建造价百分之二至二十的罚款，并责令改正或补办《建设工程规划许可证》。</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百分之五</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百分之十</w:t>
            </w:r>
            <w:r>
              <w:rPr>
                <w:rFonts w:hint="eastAsia" w:ascii="宋体" w:hAnsi="宋体" w:cs="宋体"/>
                <w:color w:val="auto"/>
                <w:kern w:val="0"/>
                <w:highlight w:val="none"/>
              </w:rPr>
              <w:t>以下的罚款</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FF0000"/>
                <w:kern w:val="0"/>
                <w:highlight w:val="none"/>
              </w:rPr>
            </w:pPr>
            <w:r>
              <w:rPr>
                <w:rFonts w:hint="eastAsia" w:ascii="宋体" w:hAnsi="宋体" w:cs="宋体"/>
                <w:b/>
                <w:bCs/>
                <w:color w:val="FF0000"/>
                <w:kern w:val="0"/>
                <w:highlight w:val="none"/>
              </w:rPr>
              <w:t>　</w:t>
            </w:r>
          </w:p>
        </w:tc>
      </w:tr>
      <w:tr>
        <w:tblPrEx>
          <w:tblCellMar>
            <w:top w:w="0" w:type="dxa"/>
            <w:left w:w="108" w:type="dxa"/>
            <w:bottom w:w="0" w:type="dxa"/>
            <w:right w:w="108" w:type="dxa"/>
          </w:tblCellMar>
        </w:tblPrEx>
        <w:trPr>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百分之十</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百分之二十</w:t>
            </w:r>
            <w:r>
              <w:rPr>
                <w:rFonts w:hint="eastAsia" w:ascii="宋体" w:hAnsi="宋体" w:cs="宋体"/>
                <w:color w:val="auto"/>
                <w:kern w:val="0"/>
                <w:highlight w:val="none"/>
              </w:rPr>
              <w:t>以下的罚款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54"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1</w:t>
            </w:r>
            <w:r>
              <w:rPr>
                <w:rFonts w:hint="eastAsia" w:ascii="宋体" w:hAnsi="宋体" w:cs="宋体"/>
                <w:color w:val="auto"/>
                <w:kern w:val="0"/>
                <w:highlight w:val="none"/>
                <w:lang w:val="en-US" w:eastAsia="zh-CN"/>
              </w:rPr>
              <w:t>5</w:t>
            </w:r>
            <w:r>
              <w:rPr>
                <w:rFonts w:ascii="宋体" w:hAnsi="宋体" w:cs="宋体"/>
                <w:color w:val="auto"/>
                <w:kern w:val="0"/>
                <w:highlight w:val="none"/>
              </w:rPr>
              <w:t>%</w:t>
            </w:r>
            <w:r>
              <w:rPr>
                <w:rFonts w:hint="eastAsia" w:ascii="宋体" w:hAnsi="宋体" w:cs="宋体"/>
                <w:color w:val="auto"/>
                <w:kern w:val="0"/>
                <w:highlight w:val="none"/>
              </w:rPr>
              <w:t>以上的</w:t>
            </w:r>
          </w:p>
        </w:tc>
        <w:tc>
          <w:tcPr>
            <w:tcW w:w="1686" w:type="dxa"/>
            <w:tcBorders>
              <w:top w:val="nil"/>
              <w:left w:val="nil"/>
              <w:bottom w:val="single" w:color="auto" w:sz="4" w:space="0"/>
              <w:right w:val="single" w:color="auto" w:sz="4" w:space="0"/>
            </w:tcBorders>
            <w:vAlign w:val="center"/>
          </w:tcPr>
          <w:p>
            <w:pPr>
              <w:widowControl/>
              <w:spacing w:line="320" w:lineRule="exac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百分之二十</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百分之三十</w:t>
            </w:r>
            <w:r>
              <w:rPr>
                <w:rFonts w:hint="eastAsia" w:ascii="宋体" w:hAnsi="宋体" w:cs="宋体"/>
                <w:color w:val="auto"/>
                <w:kern w:val="0"/>
                <w:highlight w:val="none"/>
              </w:rPr>
              <w:t>以下的罚款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2360"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3</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违法建设尚无不良影响的</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《厦门市城市规划条例》第三十四条第二款  任何单位或个人在城市规划区内新建、扩建和改建各类建设工程，都必须向规划部门申请办理《建设项目选址意见书》、《建设用地规划许可证》和《建设工程规划许可证》。其中需由省规划部门核发选址意见书的建设项目由市规划部门提出审核意见后，报省规划部门核发选址意见书。</w:t>
            </w:r>
          </w:p>
          <w:p>
            <w:pPr>
              <w:widowControl/>
              <w:spacing w:line="320" w:lineRule="exact"/>
              <w:jc w:val="left"/>
              <w:rPr>
                <w:rFonts w:ascii="宋体"/>
                <w:color w:val="000000"/>
                <w:kern w:val="0"/>
                <w:highlight w:val="none"/>
              </w:rPr>
            </w:pPr>
            <w:r>
              <w:rPr>
                <w:rFonts w:hint="eastAsia" w:ascii="宋体" w:hAnsi="宋体" w:cs="宋体"/>
                <w:color w:val="000000"/>
                <w:kern w:val="0"/>
                <w:highlight w:val="none"/>
              </w:rPr>
              <w:t>第四十一条第三款  建设单位或个人和施工单位应严格按《建设工程规划许可证》核准的设计图纸施工，不得擅自改动。</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rPr>
                <w:rFonts w:ascii="宋体"/>
                <w:color w:val="000000"/>
                <w:kern w:val="0"/>
                <w:highlight w:val="none"/>
              </w:rPr>
            </w:pPr>
            <w:r>
              <w:rPr>
                <w:rFonts w:hint="eastAsia" w:ascii="宋体" w:hAnsi="宋体" w:cs="宋体"/>
                <w:color w:val="000000"/>
                <w:kern w:val="0"/>
                <w:highlight w:val="none"/>
              </w:rPr>
              <w:t>《厦门市城市规划条例》第五十六条 未取得《建设工程规划许可证》或者未按照《建设工程规划许可证》的规定进行建设，对城市规划有影响但尚可采取措施消除的，由城市管理行政执法部门责令停止建设，限期改正，并处以建设工程土建造价的百分之五至三十的罚款；对城市规划建设尚无不良影响的，处以建设工程土建造价百分之二至二十的罚款，并责令改正或补办《建设工程规划许可证》。</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280" w:lineRule="exact"/>
              <w:rPr>
                <w:rFonts w:ascii="宋体"/>
                <w:color w:val="auto"/>
                <w:kern w:val="0"/>
                <w:highlight w:val="none"/>
              </w:rPr>
            </w:pPr>
            <w:r>
              <w:rPr>
                <w:rFonts w:hint="eastAsia" w:ascii="宋体" w:hAnsi="宋体" w:cs="宋体"/>
                <w:color w:val="auto"/>
                <w:kern w:val="0"/>
                <w:highlight w:val="none"/>
              </w:rPr>
              <w:t>处以建设工程土建造价</w:t>
            </w:r>
            <w:r>
              <w:rPr>
                <w:rFonts w:hint="eastAsia" w:ascii="宋体" w:hAnsi="宋体" w:cs="宋体"/>
                <w:color w:val="auto"/>
                <w:kern w:val="0"/>
                <w:highlight w:val="none"/>
                <w:lang w:eastAsia="zh-CN"/>
              </w:rPr>
              <w:t>百分之二</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百分之五</w:t>
            </w:r>
            <w:r>
              <w:rPr>
                <w:rFonts w:hint="eastAsia" w:ascii="宋体" w:hAnsi="宋体" w:cs="宋体"/>
                <w:color w:val="auto"/>
                <w:kern w:val="0"/>
                <w:highlight w:val="none"/>
              </w:rPr>
              <w:t>以下的罚款，并责令改正或补办《建设工程规划许可证》</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　</w:t>
            </w:r>
          </w:p>
        </w:tc>
      </w:tr>
      <w:tr>
        <w:tblPrEx>
          <w:tblCellMar>
            <w:top w:w="0" w:type="dxa"/>
            <w:left w:w="108" w:type="dxa"/>
            <w:bottom w:w="0" w:type="dxa"/>
            <w:right w:w="108" w:type="dxa"/>
          </w:tblCellMar>
        </w:tblPrEx>
        <w:trPr>
          <w:trHeight w:val="1925"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5%以上</w:t>
            </w:r>
            <w:r>
              <w:rPr>
                <w:rFonts w:hint="eastAsia" w:ascii="宋体" w:hAnsi="宋体" w:cs="宋体"/>
                <w:color w:val="auto"/>
                <w:kern w:val="0"/>
                <w:highlight w:val="none"/>
                <w:lang w:val="en-US" w:eastAsia="zh-CN"/>
              </w:rPr>
              <w:t>15%</w:t>
            </w:r>
            <w:r>
              <w:rPr>
                <w:rFonts w:ascii="宋体" w:hAnsi="宋体" w:cs="宋体"/>
                <w:color w:val="auto"/>
                <w:kern w:val="0"/>
                <w:highlight w:val="none"/>
              </w:rPr>
              <w:t>以下</w:t>
            </w:r>
            <w:r>
              <w:rPr>
                <w:rFonts w:hint="eastAsia" w:ascii="宋体" w:hAnsi="宋体" w:cs="宋体"/>
                <w:color w:val="auto"/>
                <w:kern w:val="0"/>
                <w:highlight w:val="none"/>
              </w:rPr>
              <w:t>的</w:t>
            </w:r>
          </w:p>
        </w:tc>
        <w:tc>
          <w:tcPr>
            <w:tcW w:w="1686" w:type="dxa"/>
            <w:tcBorders>
              <w:top w:val="nil"/>
              <w:left w:val="nil"/>
              <w:bottom w:val="single" w:color="auto" w:sz="4" w:space="0"/>
              <w:right w:val="single" w:color="auto" w:sz="4" w:space="0"/>
            </w:tcBorders>
            <w:vAlign w:val="center"/>
          </w:tcPr>
          <w:p>
            <w:pPr>
              <w:widowControl/>
              <w:spacing w:line="280" w:lineRule="exact"/>
              <w:rPr>
                <w:rFonts w:ascii="宋体"/>
                <w:color w:val="auto"/>
                <w:kern w:val="0"/>
                <w:highlight w:val="none"/>
              </w:rPr>
            </w:pPr>
            <w:r>
              <w:rPr>
                <w:rFonts w:hint="eastAsia" w:ascii="宋体" w:hAnsi="宋体" w:cs="宋体"/>
                <w:color w:val="auto"/>
                <w:kern w:val="0"/>
                <w:highlight w:val="none"/>
              </w:rPr>
              <w:t>处以建设工程土建造价</w:t>
            </w:r>
            <w:r>
              <w:rPr>
                <w:rFonts w:hint="eastAsia" w:ascii="宋体" w:hAnsi="宋体" w:cs="宋体"/>
                <w:color w:val="auto"/>
                <w:kern w:val="0"/>
                <w:highlight w:val="none"/>
                <w:lang w:eastAsia="zh-CN"/>
              </w:rPr>
              <w:t>百分之五</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百分之十</w:t>
            </w:r>
            <w:r>
              <w:rPr>
                <w:rFonts w:hint="eastAsia" w:ascii="宋体" w:hAnsi="宋体" w:cs="宋体"/>
                <w:color w:val="auto"/>
                <w:kern w:val="0"/>
                <w:highlight w:val="none"/>
              </w:rPr>
              <w:t>以下的罚款，并责令改正或补办《建设工程规划许可证》</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88"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以上的</w:t>
            </w:r>
          </w:p>
        </w:tc>
        <w:tc>
          <w:tcPr>
            <w:tcW w:w="1686" w:type="dxa"/>
            <w:tcBorders>
              <w:top w:val="nil"/>
              <w:left w:val="nil"/>
              <w:bottom w:val="single" w:color="auto" w:sz="4" w:space="0"/>
              <w:right w:val="single" w:color="auto" w:sz="4" w:space="0"/>
            </w:tcBorders>
            <w:vAlign w:val="center"/>
          </w:tcPr>
          <w:p>
            <w:pPr>
              <w:widowControl/>
              <w:spacing w:line="280" w:lineRule="exact"/>
              <w:rPr>
                <w:rFonts w:ascii="宋体"/>
                <w:color w:val="auto"/>
                <w:kern w:val="0"/>
                <w:highlight w:val="none"/>
              </w:rPr>
            </w:pPr>
            <w:r>
              <w:rPr>
                <w:rFonts w:hint="eastAsia" w:ascii="宋体" w:hAnsi="宋体" w:cs="宋体"/>
                <w:color w:val="auto"/>
                <w:kern w:val="0"/>
                <w:highlight w:val="none"/>
              </w:rPr>
              <w:t>处以建设工程土建造价</w:t>
            </w:r>
            <w:r>
              <w:rPr>
                <w:rFonts w:hint="eastAsia" w:ascii="宋体" w:hAnsi="宋体" w:cs="宋体"/>
                <w:color w:val="auto"/>
                <w:kern w:val="0"/>
                <w:highlight w:val="none"/>
                <w:lang w:eastAsia="zh-CN"/>
              </w:rPr>
              <w:t>百分之十</w:t>
            </w:r>
            <w:r>
              <w:rPr>
                <w:rFonts w:hint="eastAsia" w:ascii="宋体" w:hAnsi="宋体" w:cs="宋体"/>
                <w:color w:val="auto"/>
                <w:kern w:val="0"/>
                <w:highlight w:val="none"/>
              </w:rPr>
              <w:t>以上</w:t>
            </w:r>
            <w:r>
              <w:rPr>
                <w:rFonts w:hint="eastAsia" w:ascii="宋体" w:hAnsi="宋体" w:cs="宋体"/>
                <w:color w:val="auto"/>
                <w:kern w:val="0"/>
                <w:highlight w:val="none"/>
                <w:lang w:eastAsia="zh-CN"/>
              </w:rPr>
              <w:t>百分之二十</w:t>
            </w:r>
            <w:r>
              <w:rPr>
                <w:rFonts w:hint="eastAsia" w:ascii="宋体" w:hAnsi="宋体" w:cs="宋体"/>
                <w:color w:val="auto"/>
                <w:kern w:val="0"/>
                <w:highlight w:val="none"/>
              </w:rPr>
              <w:t>以下的罚款，并责令改正或补办《建设工程规划许可证》</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4</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违法临时建设</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《厦门市城市规划条例》第四十四条 在城市规划区内进行临时建设需申请临时用地的</w:t>
            </w:r>
            <w:r>
              <w:rPr>
                <w:rFonts w:ascii="宋体" w:cs="宋体"/>
                <w:color w:val="000000"/>
                <w:kern w:val="0"/>
                <w:highlight w:val="none"/>
              </w:rPr>
              <w:t>,</w:t>
            </w:r>
            <w:r>
              <w:rPr>
                <w:rFonts w:hint="eastAsia" w:ascii="宋体" w:hAnsi="宋体" w:cs="宋体"/>
                <w:color w:val="000000"/>
                <w:kern w:val="0"/>
                <w:highlight w:val="none"/>
              </w:rPr>
              <w:t>必须向规划部门申办《临时建设用地规划许可证》和《临时建设工程规划许可证》。在已有用地红线内进行临时建设的</w:t>
            </w:r>
            <w:r>
              <w:rPr>
                <w:rFonts w:ascii="宋体" w:cs="宋体"/>
                <w:color w:val="000000"/>
                <w:kern w:val="0"/>
                <w:highlight w:val="none"/>
              </w:rPr>
              <w:t>,</w:t>
            </w:r>
            <w:r>
              <w:rPr>
                <w:rFonts w:hint="eastAsia" w:ascii="宋体" w:hAnsi="宋体" w:cs="宋体"/>
                <w:color w:val="000000"/>
                <w:kern w:val="0"/>
                <w:highlight w:val="none"/>
              </w:rPr>
              <w:t>必须向规划部门申办《临时建设工程规划许可证》。</w:t>
            </w:r>
            <w:r>
              <w:rPr>
                <w:rFonts w:ascii="宋体"/>
                <w:color w:val="000000"/>
                <w:kern w:val="0"/>
                <w:highlight w:val="none"/>
              </w:rPr>
              <w:br w:type="textWrapping"/>
            </w:r>
            <w:r>
              <w:rPr>
                <w:rFonts w:hint="eastAsia" w:ascii="宋体" w:hAnsi="宋体" w:cs="宋体"/>
                <w:color w:val="000000"/>
                <w:kern w:val="0"/>
                <w:highlight w:val="none"/>
              </w:rPr>
              <w:t>　　临时用地和临时建筑使用年限不得超过二年；确需延期的，可以申请延期一次，延长期不得超过二年。临时建筑层数不得超过两层，总高度不得超过七米。</w:t>
            </w:r>
            <w:r>
              <w:rPr>
                <w:rFonts w:ascii="宋体"/>
                <w:color w:val="000000"/>
                <w:kern w:val="0"/>
                <w:highlight w:val="none"/>
              </w:rPr>
              <w:br w:type="textWrapping"/>
            </w:r>
            <w:r>
              <w:rPr>
                <w:rFonts w:hint="eastAsia" w:ascii="宋体" w:hAnsi="宋体" w:cs="宋体"/>
                <w:color w:val="000000"/>
                <w:kern w:val="0"/>
                <w:highlight w:val="none"/>
              </w:rPr>
              <w:t>　　建设单位或个人应严格按照批准的临时建筑规模、使用期限和使用性质建设和使用，不得改变使用性质或者出租、转让。临时建设使用期满或国家建设需要，建设单位或个人应负责无偿自行拆除。</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《厦门市城市规划条例》第五十七条 未取得《临时建设规划许可证》或者未按照《临时建设规划许可证》的规定进行建设，由城市管理行政执法部门责令停止建设，限期改正，并处以建设工程土建造价的百分之五至三十的罚款。</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百分之五</w:t>
            </w:r>
            <w:r>
              <w:rPr>
                <w:rFonts w:ascii="宋体" w:hAnsi="宋体" w:cs="宋体"/>
                <w:color w:val="auto"/>
                <w:kern w:val="0"/>
                <w:highlight w:val="none"/>
              </w:rPr>
              <w:t>以上</w:t>
            </w:r>
            <w:r>
              <w:rPr>
                <w:rFonts w:hint="eastAsia" w:ascii="宋体" w:hAnsi="宋体" w:cs="宋体"/>
                <w:color w:val="auto"/>
                <w:kern w:val="0"/>
                <w:highlight w:val="none"/>
                <w:lang w:eastAsia="zh-CN"/>
              </w:rPr>
              <w:t>百分之十</w:t>
            </w:r>
            <w:r>
              <w:rPr>
                <w:rFonts w:ascii="宋体" w:hAnsi="宋体" w:cs="宋体"/>
                <w:color w:val="auto"/>
                <w:kern w:val="0"/>
                <w:highlight w:val="none"/>
              </w:rPr>
              <w:t>以下</w:t>
            </w:r>
            <w:r>
              <w:rPr>
                <w:rFonts w:hint="eastAsia" w:ascii="宋体" w:hAnsi="宋体" w:cs="宋体"/>
                <w:color w:val="auto"/>
                <w:kern w:val="0"/>
                <w:highlight w:val="none"/>
              </w:rPr>
              <w:t>的罚款</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百分之十</w:t>
            </w:r>
            <w:r>
              <w:rPr>
                <w:rFonts w:ascii="宋体" w:hAnsi="宋体" w:cs="宋体"/>
                <w:color w:val="auto"/>
                <w:kern w:val="0"/>
                <w:highlight w:val="none"/>
              </w:rPr>
              <w:t>以上</w:t>
            </w:r>
            <w:r>
              <w:rPr>
                <w:rFonts w:hint="eastAsia" w:ascii="宋体" w:hAnsi="宋体" w:cs="宋体"/>
                <w:color w:val="auto"/>
                <w:kern w:val="0"/>
                <w:highlight w:val="none"/>
                <w:lang w:eastAsia="zh-CN"/>
              </w:rPr>
              <w:t>百分之二十</w:t>
            </w:r>
            <w:r>
              <w:rPr>
                <w:rFonts w:ascii="宋体" w:hAnsi="宋体" w:cs="宋体"/>
                <w:color w:val="auto"/>
                <w:kern w:val="0"/>
                <w:highlight w:val="none"/>
              </w:rPr>
              <w:t>以下</w:t>
            </w:r>
            <w:r>
              <w:rPr>
                <w:rFonts w:hint="eastAsia" w:ascii="宋体" w:hAnsi="宋体" w:cs="宋体"/>
                <w:color w:val="auto"/>
                <w:kern w:val="0"/>
                <w:highlight w:val="none"/>
              </w:rPr>
              <w:t>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责令停止建设，限期改正，并处以建设工程土建造价的</w:t>
            </w:r>
            <w:r>
              <w:rPr>
                <w:rFonts w:hint="eastAsia" w:ascii="宋体" w:hAnsi="宋体" w:cs="宋体"/>
                <w:color w:val="auto"/>
                <w:kern w:val="0"/>
                <w:highlight w:val="none"/>
                <w:lang w:eastAsia="zh-CN"/>
              </w:rPr>
              <w:t>百分之二十</w:t>
            </w:r>
            <w:r>
              <w:rPr>
                <w:rFonts w:ascii="宋体" w:hAnsi="宋体" w:cs="宋体"/>
                <w:color w:val="auto"/>
                <w:kern w:val="0"/>
                <w:highlight w:val="none"/>
              </w:rPr>
              <w:t>以上</w:t>
            </w:r>
            <w:r>
              <w:rPr>
                <w:rFonts w:hint="eastAsia" w:ascii="宋体" w:hAnsi="宋体" w:cs="宋体"/>
                <w:color w:val="auto"/>
                <w:kern w:val="0"/>
                <w:highlight w:val="none"/>
                <w:lang w:eastAsia="zh-CN"/>
              </w:rPr>
              <w:t>百分之三十</w:t>
            </w:r>
            <w:r>
              <w:rPr>
                <w:rFonts w:ascii="宋体" w:hAnsi="宋体" w:cs="宋体"/>
                <w:color w:val="auto"/>
                <w:kern w:val="0"/>
                <w:highlight w:val="none"/>
              </w:rPr>
              <w:t>以下</w:t>
            </w:r>
            <w:r>
              <w:rPr>
                <w:rFonts w:hint="eastAsia" w:ascii="宋体" w:hAnsi="宋体" w:cs="宋体"/>
                <w:color w:val="auto"/>
                <w:kern w:val="0"/>
                <w:highlight w:val="none"/>
              </w:rPr>
              <w:t>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1731"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5</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擅自改变使用性质影响规划的</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ascii="宋体" w:hAnsi="宋体" w:cs="宋体"/>
                <w:color w:val="000000"/>
                <w:kern w:val="0"/>
                <w:highlight w:val="none"/>
              </w:rPr>
              <w:t xml:space="preserve"> </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《厦门市城市规划条例》第五十八条 擅自改变建筑物、构筑物和其他设施使用性质影响城市规划的，由城市管理行政执法部门责令限期改正；逾期不改正的，处以当年重置价的百分之二至二十的罚款。</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hint="eastAsia" w:ascii="宋体" w:eastAsia="宋体"/>
                <w:color w:val="000000"/>
                <w:kern w:val="0"/>
                <w:highlight w:val="none"/>
                <w:lang w:eastAsia="zh-CN"/>
              </w:rPr>
            </w:pPr>
            <w:r>
              <w:rPr>
                <w:rFonts w:hint="eastAsia" w:ascii="宋体" w:hAnsi="宋体" w:cs="宋体"/>
                <w:color w:val="000000"/>
                <w:kern w:val="0"/>
                <w:highlight w:val="none"/>
              </w:rPr>
              <w:t>擅自改变建筑物、构筑物和其他设施使用性质的面积占总建筑面积的5%以下</w:t>
            </w:r>
            <w:r>
              <w:rPr>
                <w:rFonts w:hint="eastAsia" w:ascii="宋体" w:hAnsi="宋体" w:cs="宋体"/>
                <w:color w:val="000000"/>
                <w:kern w:val="0"/>
                <w:highlight w:val="none"/>
                <w:lang w:eastAsia="zh-CN"/>
              </w:rPr>
              <w:t>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责令限期改正；逾期不改正的，处以当年重置价的</w:t>
            </w:r>
            <w:r>
              <w:rPr>
                <w:rFonts w:hint="eastAsia" w:ascii="宋体" w:hAnsi="宋体" w:cs="宋体"/>
                <w:color w:val="000000"/>
                <w:kern w:val="0"/>
                <w:highlight w:val="none"/>
                <w:lang w:eastAsia="zh-CN"/>
              </w:rPr>
              <w:t>百分之二</w:t>
            </w:r>
            <w:r>
              <w:rPr>
                <w:rFonts w:hint="eastAsia" w:ascii="宋体" w:hAnsi="宋体" w:cs="宋体"/>
                <w:color w:val="000000"/>
                <w:kern w:val="0"/>
                <w:highlight w:val="none"/>
              </w:rPr>
              <w:t>的罚款</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FF0000"/>
                <w:kern w:val="0"/>
                <w:highlight w:val="none"/>
              </w:rPr>
            </w:pPr>
          </w:p>
        </w:tc>
      </w:tr>
      <w:tr>
        <w:tblPrEx>
          <w:tblCellMar>
            <w:top w:w="0" w:type="dxa"/>
            <w:left w:w="108" w:type="dxa"/>
            <w:bottom w:w="0" w:type="dxa"/>
            <w:right w:w="108" w:type="dxa"/>
          </w:tblCellMar>
        </w:tblPrEx>
        <w:trPr>
          <w:trHeight w:val="1981"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擅自改变建筑物、构筑物和其他设施使用性质的面积占总建筑面积的5%以上</w:t>
            </w:r>
            <w:r>
              <w:rPr>
                <w:rFonts w:hint="eastAsia" w:ascii="宋体" w:hAnsi="宋体" w:cs="宋体"/>
                <w:color w:val="000000"/>
                <w:kern w:val="0"/>
                <w:highlight w:val="none"/>
              </w:rPr>
              <w:t>1</w:t>
            </w:r>
            <w:r>
              <w:rPr>
                <w:rFonts w:hint="eastAsia" w:ascii="宋体" w:hAnsi="宋体" w:cs="宋体"/>
                <w:color w:val="000000"/>
                <w:kern w:val="0"/>
                <w:highlight w:val="none"/>
                <w:lang w:val="en-US" w:eastAsia="zh-CN"/>
              </w:rPr>
              <w:t>5</w:t>
            </w:r>
            <w:r>
              <w:rPr>
                <w:rFonts w:hint="eastAsia" w:ascii="宋体" w:hAnsi="宋体" w:cs="宋体"/>
                <w:color w:val="000000"/>
                <w:kern w:val="0"/>
                <w:highlight w:val="none"/>
              </w:rPr>
              <w:t>%</w:t>
            </w:r>
            <w:r>
              <w:rPr>
                <w:rFonts w:hint="eastAsia" w:ascii="宋体" w:hAnsi="宋体" w:cs="宋体"/>
                <w:color w:val="000000"/>
                <w:kern w:val="0"/>
                <w:highlight w:val="none"/>
              </w:rPr>
              <w:t>以下的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责令限期改正；逾期不改正的，处以当年重置价的</w:t>
            </w:r>
            <w:r>
              <w:rPr>
                <w:rFonts w:hint="eastAsia" w:ascii="宋体" w:hAnsi="宋体" w:cs="宋体"/>
                <w:color w:val="000000"/>
                <w:kern w:val="0"/>
                <w:highlight w:val="none"/>
                <w:lang w:eastAsia="zh-CN"/>
              </w:rPr>
              <w:t>百分之二</w:t>
            </w:r>
            <w:r>
              <w:rPr>
                <w:rFonts w:hint="eastAsia" w:ascii="宋体" w:hAnsi="宋体" w:cs="宋体"/>
                <w:color w:val="000000"/>
                <w:kern w:val="0"/>
                <w:highlight w:val="none"/>
              </w:rPr>
              <w:t>以上</w:t>
            </w:r>
            <w:r>
              <w:rPr>
                <w:rFonts w:hint="eastAsia" w:ascii="宋体" w:hAnsi="宋体" w:cs="宋体"/>
                <w:color w:val="000000"/>
                <w:kern w:val="0"/>
                <w:highlight w:val="none"/>
                <w:lang w:eastAsia="zh-CN"/>
              </w:rPr>
              <w:t>百分之十</w:t>
            </w:r>
            <w:r>
              <w:rPr>
                <w:rFonts w:hint="eastAsia" w:ascii="宋体" w:hAnsi="宋体" w:cs="宋体"/>
                <w:color w:val="000000"/>
                <w:kern w:val="0"/>
                <w:highlight w:val="none"/>
              </w:rPr>
              <w:t>以下的罚款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2051"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擅自改变建筑物、构筑物和其他设施使用性质的面积占总建筑面积的</w:t>
            </w:r>
            <w:r>
              <w:rPr>
                <w:rFonts w:ascii="宋体" w:hAnsi="宋体" w:cs="宋体"/>
                <w:color w:val="auto"/>
                <w:kern w:val="0"/>
                <w:highlight w:val="none"/>
              </w:rPr>
              <w:t>1</w:t>
            </w:r>
            <w:r>
              <w:rPr>
                <w:rFonts w:hint="eastAsia" w:ascii="宋体" w:hAnsi="宋体" w:cs="宋体"/>
                <w:color w:val="auto"/>
                <w:kern w:val="0"/>
                <w:highlight w:val="none"/>
                <w:lang w:val="en-US" w:eastAsia="zh-CN"/>
              </w:rPr>
              <w:t>5</w:t>
            </w:r>
            <w:r>
              <w:rPr>
                <w:rFonts w:ascii="宋体" w:hAnsi="宋体" w:cs="宋体"/>
                <w:color w:val="auto"/>
                <w:kern w:val="0"/>
                <w:highlight w:val="none"/>
              </w:rPr>
              <w:t>%</w:t>
            </w:r>
            <w:r>
              <w:rPr>
                <w:rFonts w:ascii="宋体" w:hAnsi="宋体" w:cs="宋体"/>
                <w:color w:val="auto"/>
                <w:kern w:val="0"/>
                <w:highlight w:val="none"/>
              </w:rPr>
              <w:t>以上</w:t>
            </w:r>
            <w:r>
              <w:rPr>
                <w:rFonts w:hint="eastAsia" w:ascii="宋体" w:hAnsi="宋体" w:cs="宋体"/>
                <w:color w:val="auto"/>
                <w:kern w:val="0"/>
                <w:highlight w:val="none"/>
              </w:rPr>
              <w:t>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责令限期改正；逾期不改正的，处以当年重置价的</w:t>
            </w:r>
            <w:r>
              <w:rPr>
                <w:rFonts w:hint="eastAsia" w:ascii="宋体" w:hAnsi="宋体" w:cs="宋体"/>
                <w:color w:val="auto"/>
                <w:kern w:val="0"/>
                <w:highlight w:val="none"/>
                <w:lang w:eastAsia="zh-CN"/>
              </w:rPr>
              <w:t>百分之十</w:t>
            </w:r>
            <w:r>
              <w:rPr>
                <w:rFonts w:ascii="宋体" w:hAnsi="宋体" w:cs="宋体"/>
                <w:color w:val="auto"/>
                <w:kern w:val="0"/>
                <w:highlight w:val="none"/>
              </w:rPr>
              <w:t>以上</w:t>
            </w:r>
            <w:r>
              <w:rPr>
                <w:rFonts w:hint="eastAsia" w:ascii="宋体" w:hAnsi="宋体" w:cs="宋体"/>
                <w:color w:val="auto"/>
                <w:kern w:val="0"/>
                <w:highlight w:val="none"/>
                <w:lang w:eastAsia="zh-CN"/>
              </w:rPr>
              <w:t>百分之二十</w:t>
            </w:r>
            <w:r>
              <w:rPr>
                <w:rFonts w:ascii="宋体" w:hAnsi="宋体" w:cs="宋体"/>
                <w:color w:val="auto"/>
                <w:kern w:val="0"/>
                <w:highlight w:val="none"/>
              </w:rPr>
              <w:t>以下</w:t>
            </w:r>
            <w:r>
              <w:rPr>
                <w:rFonts w:hint="eastAsia" w:ascii="宋体" w:hAnsi="宋体" w:cs="宋体"/>
                <w:color w:val="auto"/>
                <w:kern w:val="0"/>
                <w:highlight w:val="none"/>
              </w:rPr>
              <w:t>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restart"/>
            <w:tcBorders>
              <w:top w:val="nil"/>
              <w:left w:val="single" w:color="auto" w:sz="4" w:space="0"/>
              <w:right w:val="single" w:color="auto" w:sz="4" w:space="0"/>
            </w:tcBorders>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6</w:t>
            </w:r>
          </w:p>
        </w:tc>
        <w:tc>
          <w:tcPr>
            <w:tcW w:w="683"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未经验线、放样检查开工</w:t>
            </w:r>
          </w:p>
        </w:tc>
        <w:tc>
          <w:tcPr>
            <w:tcW w:w="3744"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《厦门市城市规划条例》第四十二条 建设工程必须经有资质的测绘单位放样定位，并经规划部门验线及检查合格后方可开工；规划部门应在接到建设单位或个人报检后五日内组织检查。</w:t>
            </w:r>
          </w:p>
        </w:tc>
        <w:tc>
          <w:tcPr>
            <w:tcW w:w="1934" w:type="dxa"/>
            <w:vMerge w:val="restart"/>
            <w:tcBorders>
              <w:top w:val="nil"/>
              <w:left w:val="single" w:color="auto" w:sz="4" w:space="0"/>
              <w:right w:val="single" w:color="auto" w:sz="4" w:space="0"/>
            </w:tcBorders>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《厦门市城市规划条例》第六十条 未经规划部门验线、放样检查或经检查不合格擅自开工的，由城市管理行政执法部门责令改正，并处以五千元以上一万元以下罚款。</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有放样，但未经规划部门验线的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责令改正，并处以</w:t>
            </w:r>
            <w:r>
              <w:rPr>
                <w:rFonts w:hint="eastAsia" w:ascii="宋体" w:hAnsi="宋体" w:cs="宋体"/>
                <w:color w:val="auto"/>
                <w:kern w:val="0"/>
                <w:highlight w:val="none"/>
                <w:lang w:eastAsia="zh-CN"/>
              </w:rPr>
              <w:t>五千</w:t>
            </w:r>
            <w:r>
              <w:rPr>
                <w:rFonts w:ascii="宋体" w:hAnsi="宋体" w:cs="宋体"/>
                <w:color w:val="auto"/>
                <w:kern w:val="0"/>
                <w:highlight w:val="none"/>
              </w:rPr>
              <w:t>元以上</w:t>
            </w:r>
            <w:r>
              <w:rPr>
                <w:rFonts w:hint="eastAsia" w:ascii="宋体" w:hAnsi="宋体" w:cs="宋体"/>
                <w:color w:val="auto"/>
                <w:kern w:val="0"/>
                <w:highlight w:val="none"/>
                <w:lang w:eastAsia="zh-CN"/>
              </w:rPr>
              <w:t>六千</w:t>
            </w:r>
            <w:r>
              <w:rPr>
                <w:rFonts w:ascii="宋体" w:hAnsi="宋体" w:cs="宋体"/>
                <w:color w:val="auto"/>
                <w:kern w:val="0"/>
                <w:highlight w:val="none"/>
              </w:rPr>
              <w:t>元以下罚款</w:t>
            </w:r>
          </w:p>
        </w:tc>
        <w:tc>
          <w:tcPr>
            <w:tcW w:w="614"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hAnsi="宋体" w:cs="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continue"/>
            <w:tcBorders>
              <w:left w:val="single" w:color="auto" w:sz="4" w:space="0"/>
              <w:right w:val="single" w:color="auto" w:sz="4" w:space="0"/>
            </w:tcBorders>
            <w:noWrap/>
            <w:vAlign w:val="center"/>
          </w:tcPr>
          <w:p>
            <w:pPr>
              <w:widowControl/>
              <w:spacing w:line="320" w:lineRule="exact"/>
              <w:jc w:val="center"/>
              <w:rPr>
                <w:rFonts w:ascii="宋体"/>
                <w:color w:val="000000"/>
                <w:kern w:val="0"/>
                <w:highlight w:val="none"/>
              </w:rPr>
            </w:pPr>
          </w:p>
        </w:tc>
        <w:tc>
          <w:tcPr>
            <w:tcW w:w="683"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left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未经放样擅自开工，未造成位移的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责令改正，并处以</w:t>
            </w:r>
            <w:r>
              <w:rPr>
                <w:rFonts w:hint="eastAsia" w:ascii="宋体" w:hAnsi="宋体" w:cs="宋体"/>
                <w:color w:val="auto"/>
                <w:kern w:val="0"/>
                <w:highlight w:val="none"/>
                <w:lang w:eastAsia="zh-CN"/>
              </w:rPr>
              <w:t>六千</w:t>
            </w:r>
            <w:r>
              <w:rPr>
                <w:rFonts w:hint="eastAsia" w:ascii="宋体" w:hAnsi="宋体" w:cs="宋体"/>
                <w:color w:val="auto"/>
                <w:kern w:val="0"/>
                <w:highlight w:val="none"/>
              </w:rPr>
              <w:t>元以上</w:t>
            </w:r>
            <w:r>
              <w:rPr>
                <w:rFonts w:hint="eastAsia" w:ascii="宋体" w:hAnsi="宋体" w:cs="宋体"/>
                <w:color w:val="auto"/>
                <w:kern w:val="0"/>
                <w:highlight w:val="none"/>
                <w:lang w:eastAsia="zh-CN"/>
              </w:rPr>
              <w:t>八千</w:t>
            </w:r>
            <w:r>
              <w:rPr>
                <w:rFonts w:ascii="宋体" w:hAnsi="宋体" w:cs="宋体"/>
                <w:color w:val="auto"/>
                <w:kern w:val="0"/>
                <w:highlight w:val="none"/>
              </w:rPr>
              <w:t>元以下</w:t>
            </w:r>
            <w:r>
              <w:rPr>
                <w:rFonts w:hint="eastAsia" w:ascii="宋体" w:hAnsi="宋体" w:cs="宋体"/>
                <w:color w:val="auto"/>
                <w:kern w:val="0"/>
                <w:highlight w:val="none"/>
              </w:rPr>
              <w:t>罚款</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　</w:t>
            </w:r>
          </w:p>
        </w:tc>
      </w:tr>
      <w:tr>
        <w:tblPrEx>
          <w:tblCellMar>
            <w:top w:w="0" w:type="dxa"/>
            <w:left w:w="108" w:type="dxa"/>
            <w:bottom w:w="0" w:type="dxa"/>
            <w:right w:w="108" w:type="dxa"/>
          </w:tblCellMar>
        </w:tblPrEx>
        <w:trPr>
          <w:trHeight w:val="1590" w:hRule="atLeast"/>
          <w:jc w:val="center"/>
        </w:trPr>
        <w:tc>
          <w:tcPr>
            <w:tcW w:w="78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4381"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未经放样擅自开工，造成建设工程位置移动的。</w:t>
            </w:r>
          </w:p>
          <w:p>
            <w:pPr>
              <w:widowControl/>
              <w:spacing w:line="320" w:lineRule="exact"/>
              <w:jc w:val="left"/>
              <w:rPr>
                <w:rFonts w:ascii="宋体"/>
                <w:color w:val="auto"/>
                <w:kern w:val="0"/>
                <w:highlight w:val="none"/>
              </w:rPr>
            </w:pPr>
          </w:p>
        </w:tc>
        <w:tc>
          <w:tcPr>
            <w:tcW w:w="1686" w:type="dxa"/>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责令改正，并处以</w:t>
            </w:r>
            <w:r>
              <w:rPr>
                <w:rFonts w:hint="eastAsia" w:ascii="宋体" w:hAnsi="宋体" w:cs="宋体"/>
                <w:color w:val="auto"/>
                <w:kern w:val="0"/>
                <w:highlight w:val="none"/>
                <w:lang w:eastAsia="zh-CN"/>
              </w:rPr>
              <w:t>八千</w:t>
            </w:r>
            <w:r>
              <w:rPr>
                <w:rFonts w:ascii="宋体" w:hAnsi="宋体" w:cs="宋体"/>
                <w:color w:val="auto"/>
                <w:kern w:val="0"/>
                <w:highlight w:val="none"/>
              </w:rPr>
              <w:t>元以</w:t>
            </w:r>
            <w:r>
              <w:rPr>
                <w:rFonts w:hint="eastAsia" w:ascii="宋体" w:hAnsi="宋体" w:cs="宋体"/>
                <w:color w:val="auto"/>
                <w:kern w:val="0"/>
                <w:highlight w:val="none"/>
              </w:rPr>
              <w:t>上</w:t>
            </w:r>
            <w:r>
              <w:rPr>
                <w:rFonts w:hint="eastAsia" w:ascii="宋体" w:hAnsi="宋体" w:cs="宋体"/>
                <w:color w:val="auto"/>
                <w:kern w:val="0"/>
                <w:highlight w:val="none"/>
                <w:lang w:eastAsia="zh-CN"/>
              </w:rPr>
              <w:t>一万</w:t>
            </w:r>
            <w:r>
              <w:rPr>
                <w:rFonts w:hint="eastAsia" w:ascii="宋体" w:hAnsi="宋体" w:cs="宋体"/>
                <w:color w:val="auto"/>
                <w:kern w:val="0"/>
                <w:highlight w:val="none"/>
              </w:rPr>
              <w:t>元以下罚款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0"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7</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违反规划条件设计</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《厦门市城市规划条例》第四十一条第一款  设计单位必须按照规划部门提供的规划设计条件，进行工程设计。</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《厦门市城市规划条例》第六十三条第一款  设计单位没有按照规划部门提供的规划设计条件，编制建设工程的设计方案或者进行工程设计的，由城市管理行政执法部门没收该项目的全部设计费；情节严重的，应提请有关行政管理部门取消其设计资质。</w:t>
            </w:r>
          </w:p>
        </w:tc>
        <w:tc>
          <w:tcPr>
            <w:tcW w:w="92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43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没有按照规划部门提供的规划设计条件，编制建设工程的设计方案或者进行工程设计的</w:t>
            </w:r>
          </w:p>
        </w:tc>
        <w:tc>
          <w:tcPr>
            <w:tcW w:w="16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没收该项目的全部设计费；情节严重的，应提请有关行政管理部门取消其设计资质</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FF0000"/>
                <w:kern w:val="0"/>
                <w:highlight w:val="none"/>
              </w:rPr>
            </w:pPr>
            <w:r>
              <w:rPr>
                <w:rFonts w:hint="eastAsia" w:ascii="宋体" w:hAnsi="宋体" w:cs="宋体"/>
                <w:bCs/>
                <w:kern w:val="0"/>
                <w:highlight w:val="none"/>
              </w:rPr>
              <w:t>此项处罚不涉及裁量权基准</w:t>
            </w:r>
            <w:r>
              <w:rPr>
                <w:rFonts w:hint="eastAsia" w:ascii="宋体" w:hAnsi="宋体" w:cs="宋体"/>
                <w:b/>
                <w:bCs/>
                <w:color w:val="FF0000"/>
                <w:kern w:val="0"/>
                <w:highlight w:val="none"/>
              </w:rPr>
              <w:t>　</w:t>
            </w:r>
          </w:p>
        </w:tc>
      </w:tr>
      <w:tr>
        <w:tblPrEx>
          <w:tblCellMar>
            <w:top w:w="0" w:type="dxa"/>
            <w:left w:w="108" w:type="dxa"/>
            <w:bottom w:w="0" w:type="dxa"/>
            <w:right w:w="108" w:type="dxa"/>
          </w:tblCellMar>
        </w:tblPrEx>
        <w:trPr>
          <w:trHeight w:val="320"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7082"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0"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8</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无证或未按图施工</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《厦门市城市规划条例》第四十一条第二款  施工单位必须在建设单位或个人取得《建设工程规划许可证》后方可施工。</w:t>
            </w:r>
            <w:r>
              <w:rPr>
                <w:rFonts w:ascii="宋体" w:hAnsi="宋体" w:cs="宋体"/>
                <w:color w:val="000000"/>
                <w:kern w:val="0"/>
                <w:highlight w:val="none"/>
              </w:rPr>
              <w:t xml:space="preserve"> </w:t>
            </w:r>
          </w:p>
          <w:p>
            <w:pPr>
              <w:widowControl/>
              <w:spacing w:line="320" w:lineRule="exact"/>
              <w:jc w:val="left"/>
              <w:rPr>
                <w:rFonts w:ascii="宋体"/>
                <w:color w:val="000000"/>
                <w:kern w:val="0"/>
                <w:highlight w:val="none"/>
              </w:rPr>
            </w:pPr>
            <w:r>
              <w:rPr>
                <w:rFonts w:hint="eastAsia" w:ascii="宋体" w:hAnsi="宋体" w:cs="宋体"/>
                <w:color w:val="000000"/>
                <w:kern w:val="0"/>
                <w:highlight w:val="none"/>
              </w:rPr>
              <w:t>第三款  建设单位或个人和施工单位应严格按《建设工程规划许可证》核准的设计图纸施工，不得擅自改动。</w:t>
            </w:r>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《厦门市城市规划条例》第六十三条第二款  施工单位承接无《建设工程规划许可证》的建设</w:t>
            </w:r>
            <w:r>
              <w:rPr>
                <w:rFonts w:hint="eastAsia" w:ascii="宋体" w:hAnsi="宋体" w:cs="宋体"/>
                <w:color w:val="000000"/>
                <w:spacing w:val="-6"/>
                <w:kern w:val="0"/>
                <w:highlight w:val="none"/>
              </w:rPr>
              <w:t>工程的施工任务或者擅自改动《建设工程规划许可证》核准的设计图纸进行施工的，没收该项目的全部管理费；情节严重的，应提请有关行政管理部门取消其施工资质。</w:t>
            </w:r>
          </w:p>
        </w:tc>
        <w:tc>
          <w:tcPr>
            <w:tcW w:w="92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4381"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施工单位承接无《建设工程规划许可证》的建设工程的施工任务或者擅自改动《建设工程规划许可证》核准的设计图纸进行施工的</w:t>
            </w:r>
          </w:p>
        </w:tc>
        <w:tc>
          <w:tcPr>
            <w:tcW w:w="1686"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没收该项目的全部管理费；情节严重的，应提请有关行政管理部门取消其施工资质</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FF0000"/>
                <w:kern w:val="0"/>
                <w:highlight w:val="none"/>
              </w:rPr>
            </w:pPr>
            <w:r>
              <w:rPr>
                <w:rFonts w:hint="eastAsia" w:ascii="宋体" w:hAnsi="宋体" w:cs="宋体"/>
                <w:bCs/>
                <w:kern w:val="0"/>
                <w:highlight w:val="none"/>
              </w:rPr>
              <w:t>此项处罚不涉及裁量权基准</w:t>
            </w:r>
            <w:r>
              <w:rPr>
                <w:rFonts w:hint="eastAsia" w:ascii="宋体" w:hAnsi="宋体" w:cs="宋体"/>
                <w:b/>
                <w:bCs/>
                <w:color w:val="FF0000"/>
                <w:kern w:val="0"/>
                <w:highlight w:val="none"/>
              </w:rPr>
              <w:t>　</w:t>
            </w:r>
          </w:p>
        </w:tc>
      </w:tr>
      <w:tr>
        <w:tblPrEx>
          <w:tblCellMar>
            <w:top w:w="0" w:type="dxa"/>
            <w:left w:w="108" w:type="dxa"/>
            <w:bottom w:w="0" w:type="dxa"/>
            <w:right w:w="108" w:type="dxa"/>
          </w:tblCellMar>
        </w:tblPrEx>
        <w:trPr>
          <w:trHeight w:val="320"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320" w:hRule="atLeast"/>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4381"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68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736" w:hRule="atLeast"/>
          <w:jc w:val="center"/>
        </w:trPr>
        <w:tc>
          <w:tcPr>
            <w:tcW w:w="78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9</w:t>
            </w:r>
          </w:p>
        </w:tc>
        <w:tc>
          <w:tcPr>
            <w:tcW w:w="683"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对责任人的处罚</w:t>
            </w:r>
          </w:p>
        </w:tc>
        <w:tc>
          <w:tcPr>
            <w:tcW w:w="3744"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r>
              <w:rPr>
                <w:rFonts w:ascii="宋体" w:hAnsi="宋体" w:cs="宋体"/>
                <w:color w:val="000000"/>
                <w:kern w:val="0"/>
                <w:highlight w:val="none"/>
              </w:rPr>
              <w:t xml:space="preserve"> </w:t>
            </w:r>
            <w:bookmarkStart w:id="0" w:name="_GoBack"/>
            <w:bookmarkEnd w:id="0"/>
          </w:p>
        </w:tc>
        <w:tc>
          <w:tcPr>
            <w:tcW w:w="1934" w:type="dxa"/>
            <w:vMerge w:val="restart"/>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《厦门市城市规划条例》第六十四条 对违反规划用地和违反规划建设的建设、设计、施工单位，除按上述有关规定进行处理外，还可对其主要负责人或直接责任人处以一千五百元以下的罚款；情节严重的，应追究其法律责任。</w:t>
            </w: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违反规划用地和违反规划建设的建设、设计、施工的行为对城市规划尚无不良影响的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可处以</w:t>
            </w:r>
            <w:r>
              <w:rPr>
                <w:rFonts w:hint="eastAsia" w:ascii="宋体" w:hAnsi="宋体" w:cs="宋体"/>
                <w:color w:val="auto"/>
                <w:kern w:val="0"/>
                <w:highlight w:val="none"/>
                <w:lang w:eastAsia="zh-CN"/>
              </w:rPr>
              <w:t>五百</w:t>
            </w:r>
            <w:r>
              <w:rPr>
                <w:rFonts w:hint="eastAsia" w:ascii="宋体" w:hAnsi="宋体" w:cs="宋体"/>
                <w:color w:val="auto"/>
                <w:kern w:val="0"/>
                <w:highlight w:val="none"/>
              </w:rPr>
              <w:t>元以下的罚款</w:t>
            </w:r>
          </w:p>
        </w:tc>
        <w:tc>
          <w:tcPr>
            <w:tcW w:w="614"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　</w:t>
            </w:r>
          </w:p>
        </w:tc>
      </w:tr>
      <w:tr>
        <w:tblPrEx>
          <w:tblCellMar>
            <w:top w:w="0" w:type="dxa"/>
            <w:left w:w="108" w:type="dxa"/>
            <w:bottom w:w="0" w:type="dxa"/>
            <w:right w:w="108" w:type="dxa"/>
          </w:tblCellMar>
        </w:tblPrEx>
        <w:trPr>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违反规划用地和违反规划建设的建设、设计、施工的行为对城市规划有影响但可采取有措施消除的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可处以</w:t>
            </w:r>
            <w:r>
              <w:rPr>
                <w:rFonts w:hint="eastAsia" w:ascii="宋体" w:hAnsi="宋体" w:cs="宋体"/>
                <w:color w:val="auto"/>
                <w:kern w:val="0"/>
                <w:highlight w:val="none"/>
                <w:lang w:eastAsia="zh-CN"/>
              </w:rPr>
              <w:t>五百</w:t>
            </w:r>
            <w:r>
              <w:rPr>
                <w:rFonts w:ascii="宋体" w:hAnsi="宋体" w:cs="宋体"/>
                <w:color w:val="auto"/>
                <w:kern w:val="0"/>
                <w:highlight w:val="none"/>
              </w:rPr>
              <w:t>元以上</w:t>
            </w:r>
            <w:r>
              <w:rPr>
                <w:rFonts w:hint="eastAsia" w:ascii="宋体" w:hAnsi="宋体" w:cs="宋体"/>
                <w:color w:val="auto"/>
                <w:kern w:val="0"/>
                <w:highlight w:val="none"/>
                <w:lang w:eastAsia="zh-CN"/>
              </w:rPr>
              <w:t>一千</w:t>
            </w:r>
            <w:r>
              <w:rPr>
                <w:rFonts w:hint="eastAsia" w:ascii="宋体" w:hAnsi="宋体" w:cs="宋体"/>
                <w:color w:val="auto"/>
                <w:kern w:val="0"/>
                <w:highlight w:val="none"/>
              </w:rPr>
              <w:t>元以下的罚款</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jc w:val="center"/>
        </w:trPr>
        <w:tc>
          <w:tcPr>
            <w:tcW w:w="7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683"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74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193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4381" w:type="dxa"/>
            <w:tcBorders>
              <w:top w:val="nil"/>
              <w:left w:val="nil"/>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违反规划用地和违反规划建设的建设、设计、施工的行为严重影响城市规划的</w:t>
            </w:r>
          </w:p>
        </w:tc>
        <w:tc>
          <w:tcPr>
            <w:tcW w:w="1686"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可处以</w:t>
            </w:r>
            <w:r>
              <w:rPr>
                <w:rFonts w:hint="eastAsia" w:ascii="宋体" w:hAnsi="宋体" w:cs="宋体"/>
                <w:color w:val="auto"/>
                <w:kern w:val="0"/>
                <w:highlight w:val="none"/>
                <w:lang w:eastAsia="zh-CN"/>
              </w:rPr>
              <w:t>一千</w:t>
            </w:r>
            <w:r>
              <w:rPr>
                <w:rFonts w:ascii="宋体" w:hAnsi="宋体" w:cs="宋体"/>
                <w:color w:val="auto"/>
                <w:kern w:val="0"/>
                <w:highlight w:val="none"/>
              </w:rPr>
              <w:t>元以上</w:t>
            </w:r>
            <w:r>
              <w:rPr>
                <w:rFonts w:hint="eastAsia" w:ascii="宋体" w:hAnsi="宋体" w:cs="宋体"/>
                <w:color w:val="auto"/>
                <w:kern w:val="0"/>
                <w:highlight w:val="none"/>
                <w:lang w:eastAsia="zh-CN"/>
              </w:rPr>
              <w:t>一千五百</w:t>
            </w:r>
            <w:r>
              <w:rPr>
                <w:rFonts w:hint="eastAsia" w:ascii="宋体" w:hAnsi="宋体" w:cs="宋体"/>
                <w:color w:val="auto"/>
                <w:kern w:val="0"/>
                <w:highlight w:val="none"/>
              </w:rPr>
              <w:t>元以下的罚款；情节严重的，应追究其法律责任</w:t>
            </w:r>
          </w:p>
        </w:tc>
        <w:tc>
          <w:tcPr>
            <w:tcW w:w="61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bl>
    <w:p>
      <w:pPr>
        <w:rPr>
          <w:highlight w:val="none"/>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5</w:t>
    </w:r>
    <w:r>
      <w:rPr>
        <w:rStyle w:val="13"/>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39"/>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76B37"/>
    <w:rsid w:val="000847B1"/>
    <w:rsid w:val="00090816"/>
    <w:rsid w:val="00096A08"/>
    <w:rsid w:val="000A2CCE"/>
    <w:rsid w:val="000A3735"/>
    <w:rsid w:val="000F11F8"/>
    <w:rsid w:val="00102FAD"/>
    <w:rsid w:val="00134C08"/>
    <w:rsid w:val="001507E1"/>
    <w:rsid w:val="0017510C"/>
    <w:rsid w:val="00177968"/>
    <w:rsid w:val="00192CDD"/>
    <w:rsid w:val="001C1CA2"/>
    <w:rsid w:val="001C5923"/>
    <w:rsid w:val="001D16DE"/>
    <w:rsid w:val="001D6D36"/>
    <w:rsid w:val="001E0D5F"/>
    <w:rsid w:val="001E45D9"/>
    <w:rsid w:val="001F7C31"/>
    <w:rsid w:val="00200C53"/>
    <w:rsid w:val="00215C2F"/>
    <w:rsid w:val="002265EE"/>
    <w:rsid w:val="00264206"/>
    <w:rsid w:val="0027784B"/>
    <w:rsid w:val="002B6E2F"/>
    <w:rsid w:val="002D1784"/>
    <w:rsid w:val="002D3CFE"/>
    <w:rsid w:val="002D58DF"/>
    <w:rsid w:val="002E0DDC"/>
    <w:rsid w:val="002F22FF"/>
    <w:rsid w:val="002F52BC"/>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87C02"/>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790C"/>
    <w:rsid w:val="00633344"/>
    <w:rsid w:val="00663131"/>
    <w:rsid w:val="00663188"/>
    <w:rsid w:val="0067787C"/>
    <w:rsid w:val="006913CF"/>
    <w:rsid w:val="00692A5C"/>
    <w:rsid w:val="00697966"/>
    <w:rsid w:val="006A4EC4"/>
    <w:rsid w:val="006A7621"/>
    <w:rsid w:val="006B1053"/>
    <w:rsid w:val="006B200A"/>
    <w:rsid w:val="006B420D"/>
    <w:rsid w:val="006B77B6"/>
    <w:rsid w:val="006C002C"/>
    <w:rsid w:val="006C2578"/>
    <w:rsid w:val="00715E5E"/>
    <w:rsid w:val="00726D62"/>
    <w:rsid w:val="0075457E"/>
    <w:rsid w:val="00755BE1"/>
    <w:rsid w:val="00762B98"/>
    <w:rsid w:val="0077648D"/>
    <w:rsid w:val="00793851"/>
    <w:rsid w:val="007A6CE2"/>
    <w:rsid w:val="007B50B6"/>
    <w:rsid w:val="007C7FA8"/>
    <w:rsid w:val="007D2C95"/>
    <w:rsid w:val="007F5C8B"/>
    <w:rsid w:val="00817E3D"/>
    <w:rsid w:val="00851CE0"/>
    <w:rsid w:val="008565AB"/>
    <w:rsid w:val="008759F9"/>
    <w:rsid w:val="00882004"/>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C1F8E"/>
    <w:rsid w:val="009C3085"/>
    <w:rsid w:val="009E1C6B"/>
    <w:rsid w:val="009E4164"/>
    <w:rsid w:val="00A160C7"/>
    <w:rsid w:val="00A420F9"/>
    <w:rsid w:val="00A63E9E"/>
    <w:rsid w:val="00A64E9B"/>
    <w:rsid w:val="00A770C5"/>
    <w:rsid w:val="00A97636"/>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D22F8"/>
    <w:rsid w:val="00BF0EB6"/>
    <w:rsid w:val="00C278A2"/>
    <w:rsid w:val="00C30327"/>
    <w:rsid w:val="00C34B68"/>
    <w:rsid w:val="00C505FE"/>
    <w:rsid w:val="00C70AE3"/>
    <w:rsid w:val="00C8079B"/>
    <w:rsid w:val="00C96E19"/>
    <w:rsid w:val="00CC406B"/>
    <w:rsid w:val="00CD017B"/>
    <w:rsid w:val="00CE2E17"/>
    <w:rsid w:val="00D0088D"/>
    <w:rsid w:val="00D1355F"/>
    <w:rsid w:val="00D2257A"/>
    <w:rsid w:val="00D5526C"/>
    <w:rsid w:val="00D5553A"/>
    <w:rsid w:val="00D831F4"/>
    <w:rsid w:val="00DD38C0"/>
    <w:rsid w:val="00DE3107"/>
    <w:rsid w:val="00E03C22"/>
    <w:rsid w:val="00E06103"/>
    <w:rsid w:val="00E13D4C"/>
    <w:rsid w:val="00E238EB"/>
    <w:rsid w:val="00E4375A"/>
    <w:rsid w:val="00E73E97"/>
    <w:rsid w:val="00E740D2"/>
    <w:rsid w:val="00E77D57"/>
    <w:rsid w:val="00E85C30"/>
    <w:rsid w:val="00EB548F"/>
    <w:rsid w:val="00EC0C64"/>
    <w:rsid w:val="00EF2405"/>
    <w:rsid w:val="00F0684D"/>
    <w:rsid w:val="00F10D4A"/>
    <w:rsid w:val="00F1198C"/>
    <w:rsid w:val="00F158D7"/>
    <w:rsid w:val="00F414FB"/>
    <w:rsid w:val="00F8123A"/>
    <w:rsid w:val="00F87A79"/>
    <w:rsid w:val="00FB4389"/>
    <w:rsid w:val="00FE11C8"/>
    <w:rsid w:val="00FE3A89"/>
    <w:rsid w:val="00FF6AA8"/>
    <w:rsid w:val="37FD605C"/>
    <w:rsid w:val="77F7F66E"/>
    <w:rsid w:val="BBBD6DF4"/>
    <w:rsid w:val="D5F9A29A"/>
    <w:rsid w:val="DACFCAFE"/>
    <w:rsid w:val="ECAB8FCC"/>
    <w:rsid w:val="F65F04C0"/>
    <w:rsid w:val="FCF73211"/>
    <w:rsid w:val="FFD75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7"/>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8"/>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9"/>
    <w:qFormat/>
    <w:uiPriority w:val="99"/>
    <w:pPr>
      <w:keepNext/>
      <w:keepLines/>
      <w:spacing w:before="260" w:after="260" w:line="415"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Plain Text"/>
    <w:basedOn w:val="1"/>
    <w:link w:val="20"/>
    <w:qFormat/>
    <w:uiPriority w:val="99"/>
    <w:rPr>
      <w:rFonts w:ascii="宋体" w:cs="宋体"/>
    </w:rPr>
  </w:style>
  <w:style w:type="paragraph" w:styleId="7">
    <w:name w:val="Date"/>
    <w:basedOn w:val="1"/>
    <w:next w:val="1"/>
    <w:link w:val="21"/>
    <w:qFormat/>
    <w:uiPriority w:val="99"/>
    <w:pPr>
      <w:ind w:left="100" w:leftChars="2500"/>
    </w:pPr>
  </w:style>
  <w:style w:type="paragraph" w:styleId="8">
    <w:name w:val="Balloon Text"/>
    <w:basedOn w:val="1"/>
    <w:link w:val="22"/>
    <w:semiHidden/>
    <w:qFormat/>
    <w:uiPriority w:val="99"/>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basedOn w:val="12"/>
    <w:qFormat/>
    <w:uiPriority w:val="99"/>
  </w:style>
  <w:style w:type="character" w:styleId="14">
    <w:name w:val="FollowedHyperlink"/>
    <w:basedOn w:val="12"/>
    <w:qFormat/>
    <w:uiPriority w:val="99"/>
    <w:rPr>
      <w:color w:val="800080"/>
      <w:u w:val="single"/>
    </w:rPr>
  </w:style>
  <w:style w:type="character" w:styleId="15">
    <w:name w:val="Hyperlink"/>
    <w:basedOn w:val="12"/>
    <w:qFormat/>
    <w:uiPriority w:val="99"/>
    <w:rPr>
      <w:color w:val="0000FF"/>
      <w:u w:val="single"/>
    </w:rPr>
  </w:style>
  <w:style w:type="character" w:styleId="16">
    <w:name w:val="annotation reference"/>
    <w:basedOn w:val="12"/>
    <w:unhideWhenUsed/>
    <w:qFormat/>
    <w:uiPriority w:val="99"/>
    <w:rPr>
      <w:sz w:val="21"/>
      <w:szCs w:val="21"/>
    </w:rPr>
  </w:style>
  <w:style w:type="character" w:customStyle="1" w:styleId="17">
    <w:name w:val="标题 1 Char"/>
    <w:basedOn w:val="12"/>
    <w:link w:val="2"/>
    <w:qFormat/>
    <w:locked/>
    <w:uiPriority w:val="99"/>
    <w:rPr>
      <w:rFonts w:ascii="Times New Roman" w:hAnsi="Times New Roman" w:eastAsia="宋体" w:cs="Times New Roman"/>
      <w:b/>
      <w:bCs/>
      <w:kern w:val="44"/>
      <w:sz w:val="24"/>
      <w:szCs w:val="24"/>
    </w:rPr>
  </w:style>
  <w:style w:type="character" w:customStyle="1" w:styleId="18">
    <w:name w:val="标题 2 Char"/>
    <w:basedOn w:val="12"/>
    <w:link w:val="3"/>
    <w:qFormat/>
    <w:locked/>
    <w:uiPriority w:val="99"/>
    <w:rPr>
      <w:rFonts w:ascii="Arial" w:hAnsi="Arial" w:eastAsia="黑体" w:cs="Arial"/>
      <w:b/>
      <w:bCs/>
      <w:sz w:val="24"/>
      <w:szCs w:val="24"/>
    </w:rPr>
  </w:style>
  <w:style w:type="character" w:customStyle="1" w:styleId="19">
    <w:name w:val="标题 3 Char"/>
    <w:basedOn w:val="12"/>
    <w:link w:val="4"/>
    <w:qFormat/>
    <w:locked/>
    <w:uiPriority w:val="99"/>
    <w:rPr>
      <w:rFonts w:ascii="Times New Roman" w:hAnsi="Times New Roman" w:eastAsia="宋体" w:cs="Times New Roman"/>
      <w:b/>
      <w:bCs/>
      <w:sz w:val="24"/>
      <w:szCs w:val="24"/>
    </w:rPr>
  </w:style>
  <w:style w:type="character" w:customStyle="1" w:styleId="20">
    <w:name w:val="纯文本 Char"/>
    <w:basedOn w:val="12"/>
    <w:link w:val="6"/>
    <w:qFormat/>
    <w:locked/>
    <w:uiPriority w:val="99"/>
    <w:rPr>
      <w:rFonts w:ascii="宋体" w:hAnsi="Times New Roman" w:eastAsia="宋体" w:cs="宋体"/>
      <w:kern w:val="2"/>
      <w:sz w:val="21"/>
      <w:szCs w:val="21"/>
      <w:lang w:val="en-US" w:eastAsia="zh-CN"/>
    </w:rPr>
  </w:style>
  <w:style w:type="character" w:customStyle="1" w:styleId="21">
    <w:name w:val="日期 Char"/>
    <w:basedOn w:val="12"/>
    <w:link w:val="7"/>
    <w:qFormat/>
    <w:locked/>
    <w:uiPriority w:val="99"/>
    <w:rPr>
      <w:rFonts w:ascii="Times New Roman" w:hAnsi="Times New Roman" w:eastAsia="宋体" w:cs="Times New Roman"/>
      <w:sz w:val="24"/>
      <w:szCs w:val="24"/>
    </w:rPr>
  </w:style>
  <w:style w:type="character" w:customStyle="1" w:styleId="22">
    <w:name w:val="批注框文本 Char"/>
    <w:basedOn w:val="12"/>
    <w:link w:val="8"/>
    <w:qFormat/>
    <w:locked/>
    <w:uiPriority w:val="99"/>
    <w:rPr>
      <w:rFonts w:ascii="Times New Roman" w:hAnsi="Times New Roman" w:eastAsia="宋体" w:cs="Times New Roman"/>
      <w:sz w:val="18"/>
      <w:szCs w:val="18"/>
    </w:rPr>
  </w:style>
  <w:style w:type="character" w:customStyle="1" w:styleId="23">
    <w:name w:val="页脚 Char"/>
    <w:basedOn w:val="12"/>
    <w:link w:val="9"/>
    <w:qFormat/>
    <w:locked/>
    <w:uiPriority w:val="99"/>
    <w:rPr>
      <w:rFonts w:ascii="Times New Roman" w:hAnsi="Times New Roman" w:eastAsia="宋体" w:cs="Times New Roman"/>
      <w:sz w:val="18"/>
      <w:szCs w:val="18"/>
    </w:rPr>
  </w:style>
  <w:style w:type="character" w:customStyle="1" w:styleId="24">
    <w:name w:val="页眉 Char"/>
    <w:basedOn w:val="12"/>
    <w:link w:val="10"/>
    <w:qFormat/>
    <w:locked/>
    <w:uiPriority w:val="99"/>
    <w:rPr>
      <w:rFonts w:ascii="Times New Roman" w:hAnsi="Times New Roman" w:eastAsia="宋体" w:cs="Times New Roman"/>
      <w:sz w:val="18"/>
      <w:szCs w:val="18"/>
    </w:rPr>
  </w:style>
  <w:style w:type="paragraph" w:customStyle="1" w:styleId="25">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6">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7">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8">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9">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30">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1">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2">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3">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4">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5">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6">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7">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9">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40">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1">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2">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3">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4">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5">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6">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7">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8">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9">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50">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1">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3">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4">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5">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3837</Words>
  <Characters>715</Characters>
  <Lines>5</Lines>
  <Paragraphs>9</Paragraphs>
  <TotalTime>114</TotalTime>
  <ScaleCrop>false</ScaleCrop>
  <LinksUpToDate>false</LinksUpToDate>
  <CharactersWithSpaces>4543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2022-10-13T17:23:00Z</dcterms:created>
  <dc:creator>陈玉珊</dc:creator>
  <cp:lastModifiedBy>xmadmin</cp:lastModifiedBy>
  <cp:lastPrinted>2024-11-12T08:45:54Z</cp:lastPrinted>
  <dcterms:modified xsi:type="dcterms:W3CDTF">2024-11-12T09:44:59Z</dcterms:modified>
  <dc:title>厦门市城市管理行政执法部门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