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方正小标宋简体" w:asciiTheme="minorEastAsia" w:hAnsiTheme="minorEastAsia" w:eastAsiaTheme="minorEastAsia"/>
          <w:b/>
          <w:color w:val="auto"/>
          <w:sz w:val="36"/>
          <w:szCs w:val="36"/>
        </w:rPr>
      </w:pPr>
      <w:r>
        <w:rPr>
          <w:rFonts w:hint="eastAsia" w:cs="方正小标宋简体" w:asciiTheme="minorEastAsia" w:hAnsiTheme="minorEastAsia" w:eastAsiaTheme="minorEastAsia"/>
          <w:b/>
          <w:color w:val="auto"/>
          <w:sz w:val="36"/>
          <w:szCs w:val="36"/>
        </w:rPr>
        <w:t>《厦门市物业管理若干规定》（2011年6月1日施行）</w:t>
      </w:r>
    </w:p>
    <w:p>
      <w:pPr>
        <w:jc w:val="center"/>
        <w:rPr>
          <w:rFonts w:cs="方正小标宋简体" w:asciiTheme="minorEastAsia" w:hAnsiTheme="minorEastAsia" w:eastAsiaTheme="minorEastAsia"/>
          <w:b/>
          <w:color w:val="auto"/>
          <w:sz w:val="36"/>
          <w:szCs w:val="36"/>
        </w:rPr>
      </w:pPr>
      <w:r>
        <w:rPr>
          <w:rFonts w:hint="eastAsia" w:cs="方正小标宋简体" w:asciiTheme="minorEastAsia" w:hAnsiTheme="minorEastAsia" w:eastAsiaTheme="minorEastAsia"/>
          <w:b/>
          <w:color w:val="auto"/>
          <w:sz w:val="36"/>
          <w:szCs w:val="36"/>
        </w:rPr>
        <w:t>（202</w:t>
      </w:r>
      <w:r>
        <w:rPr>
          <w:rFonts w:hint="eastAsia" w:cs="方正小标宋简体" w:asciiTheme="minorEastAsia" w:hAnsiTheme="minorEastAsia" w:eastAsiaTheme="minorEastAsia"/>
          <w:b/>
          <w:color w:val="auto"/>
          <w:sz w:val="36"/>
          <w:szCs w:val="36"/>
          <w:lang w:val="en-US" w:eastAsia="zh-CN"/>
        </w:rPr>
        <w:t>4</w:t>
      </w:r>
      <w:r>
        <w:rPr>
          <w:rFonts w:hint="eastAsia" w:cs="方正小标宋简体" w:asciiTheme="minorEastAsia" w:hAnsiTheme="minorEastAsia" w:eastAsiaTheme="minorEastAsia"/>
          <w:b/>
          <w:color w:val="auto"/>
          <w:sz w:val="36"/>
          <w:szCs w:val="36"/>
        </w:rPr>
        <w:t>年修订裁量权基准）</w:t>
      </w:r>
    </w:p>
    <w:tbl>
      <w:tblPr>
        <w:tblStyle w:val="10"/>
        <w:tblW w:w="14742" w:type="dxa"/>
        <w:jc w:val="center"/>
        <w:tblLayout w:type="fixed"/>
        <w:tblCellMar>
          <w:top w:w="0" w:type="dxa"/>
          <w:left w:w="108" w:type="dxa"/>
          <w:bottom w:w="0" w:type="dxa"/>
          <w:right w:w="108" w:type="dxa"/>
        </w:tblCellMar>
      </w:tblPr>
      <w:tblGrid>
        <w:gridCol w:w="694"/>
        <w:gridCol w:w="1255"/>
        <w:gridCol w:w="1770"/>
        <w:gridCol w:w="2039"/>
        <w:gridCol w:w="986"/>
        <w:gridCol w:w="3797"/>
        <w:gridCol w:w="1945"/>
        <w:gridCol w:w="2256"/>
      </w:tblGrid>
      <w:tr>
        <w:tblPrEx>
          <w:tblCellMar>
            <w:top w:w="0" w:type="dxa"/>
            <w:left w:w="108" w:type="dxa"/>
            <w:bottom w:w="0" w:type="dxa"/>
            <w:right w:w="108" w:type="dxa"/>
          </w:tblCellMar>
        </w:tblPrEx>
        <w:trPr>
          <w:tblHeader/>
          <w:jc w:val="center"/>
        </w:trPr>
        <w:tc>
          <w:tcPr>
            <w:tcW w:w="69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序号</w:t>
            </w:r>
          </w:p>
        </w:tc>
        <w:tc>
          <w:tcPr>
            <w:tcW w:w="125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违法行为</w:t>
            </w:r>
          </w:p>
        </w:tc>
        <w:tc>
          <w:tcPr>
            <w:tcW w:w="177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定案依据</w:t>
            </w:r>
          </w:p>
        </w:tc>
        <w:tc>
          <w:tcPr>
            <w:tcW w:w="20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处罚依据</w:t>
            </w:r>
          </w:p>
        </w:tc>
        <w:tc>
          <w:tcPr>
            <w:tcW w:w="4783"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违法情节</w:t>
            </w:r>
          </w:p>
        </w:tc>
        <w:tc>
          <w:tcPr>
            <w:tcW w:w="194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处罚标准</w:t>
            </w:r>
          </w:p>
        </w:tc>
        <w:tc>
          <w:tcPr>
            <w:tcW w:w="22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备注</w:t>
            </w:r>
          </w:p>
        </w:tc>
      </w:tr>
      <w:tr>
        <w:tblPrEx>
          <w:tblCellMar>
            <w:top w:w="0" w:type="dxa"/>
            <w:left w:w="108" w:type="dxa"/>
            <w:bottom w:w="0" w:type="dxa"/>
            <w:right w:w="108" w:type="dxa"/>
          </w:tblCellMar>
        </w:tblPrEx>
        <w:trPr>
          <w:tblHeader/>
          <w:jc w:val="center"/>
        </w:trPr>
        <w:tc>
          <w:tcPr>
            <w:tcW w:w="69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rPr>
            </w:pPr>
          </w:p>
        </w:tc>
        <w:tc>
          <w:tcPr>
            <w:tcW w:w="125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rPr>
            </w:pPr>
          </w:p>
        </w:tc>
        <w:tc>
          <w:tcPr>
            <w:tcW w:w="177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rPr>
            </w:pPr>
          </w:p>
        </w:tc>
        <w:tc>
          <w:tcPr>
            <w:tcW w:w="203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情节</w:t>
            </w:r>
          </w:p>
          <w:p>
            <w:pPr>
              <w:widowControl/>
              <w:spacing w:line="320" w:lineRule="exact"/>
              <w:jc w:val="center"/>
              <w:rPr>
                <w:rFonts w:ascii="宋体"/>
                <w:b/>
                <w:bCs/>
                <w:color w:val="auto"/>
                <w:kern w:val="0"/>
              </w:rPr>
            </w:pPr>
            <w:r>
              <w:rPr>
                <w:rFonts w:hint="eastAsia" w:ascii="宋体" w:hAnsi="宋体" w:cs="宋体"/>
                <w:b/>
                <w:bCs/>
                <w:color w:val="auto"/>
                <w:kern w:val="0"/>
              </w:rPr>
              <w:t>分类</w:t>
            </w:r>
          </w:p>
        </w:tc>
        <w:tc>
          <w:tcPr>
            <w:tcW w:w="3797"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auto"/>
                <w:kern w:val="0"/>
              </w:rPr>
            </w:pPr>
            <w:r>
              <w:rPr>
                <w:rFonts w:hint="eastAsia" w:ascii="宋体" w:hAnsi="宋体" w:cs="宋体"/>
                <w:b/>
                <w:bCs/>
                <w:color w:val="auto"/>
                <w:kern w:val="0"/>
              </w:rPr>
              <w:t>违法情节的详细的描述</w:t>
            </w:r>
          </w:p>
        </w:tc>
        <w:tc>
          <w:tcPr>
            <w:tcW w:w="194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rPr>
            </w:pP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rPr>
            </w:pPr>
          </w:p>
        </w:tc>
      </w:tr>
      <w:tr>
        <w:tblPrEx>
          <w:tblCellMar>
            <w:top w:w="0" w:type="dxa"/>
            <w:left w:w="108" w:type="dxa"/>
            <w:bottom w:w="0" w:type="dxa"/>
            <w:right w:w="108" w:type="dxa"/>
          </w:tblCellMar>
        </w:tblPrEx>
        <w:trPr>
          <w:trHeight w:val="247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ascii="宋体" w:hAnsi="宋体" w:cs="宋体"/>
                <w:color w:val="auto"/>
                <w:kern w:val="0"/>
              </w:rPr>
              <w:t>1</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违法建造</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第二十九条第二款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第四十六条 违反本规定第二十九条第二款规定的，由城市管理行政执法部门责令其限期改正，可以处以二万元以上五万元以下的罚款；拒不改正的，由城市管理行政执法部门依法申请人民法院强制执行。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轻微</w:t>
            </w:r>
          </w:p>
        </w:tc>
        <w:tc>
          <w:tcPr>
            <w:tcW w:w="3797"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auto"/>
                <w:kern w:val="0"/>
              </w:rPr>
            </w:pPr>
            <w:r>
              <w:rPr>
                <w:rFonts w:hint="eastAsia" w:ascii="宋体" w:hAnsi="宋体" w:cs="宋体"/>
                <w:color w:val="auto"/>
                <w:kern w:val="0"/>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5平方米以内的。</w:t>
            </w:r>
          </w:p>
        </w:tc>
        <w:tc>
          <w:tcPr>
            <w:tcW w:w="1945" w:type="dxa"/>
            <w:tcBorders>
              <w:top w:val="single" w:color="auto" w:sz="4" w:space="0"/>
              <w:left w:val="nil"/>
              <w:bottom w:val="single" w:color="auto" w:sz="4" w:space="0"/>
              <w:right w:val="single" w:color="auto" w:sz="4" w:space="0"/>
            </w:tcBorders>
            <w:vAlign w:val="center"/>
          </w:tcPr>
          <w:p>
            <w:pPr>
              <w:spacing w:line="320" w:lineRule="exact"/>
              <w:jc w:val="left"/>
              <w:rPr>
                <w:rFonts w:ascii="宋体"/>
                <w:color w:val="auto"/>
                <w:kern w:val="0"/>
              </w:rPr>
            </w:pPr>
            <w:r>
              <w:rPr>
                <w:rFonts w:hint="eastAsia" w:ascii="宋体" w:hAnsi="宋体" w:cs="宋体"/>
                <w:color w:val="auto"/>
                <w:kern w:val="0"/>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pStyle w:val="53"/>
              <w:spacing w:line="260" w:lineRule="exact"/>
              <w:rPr>
                <w:rFonts w:hint="eastAsia" w:ascii="宋体" w:hAnsi="宋体"/>
                <w:color w:val="auto"/>
                <w:kern w:val="0"/>
                <w:highlight w:val="none"/>
              </w:rPr>
            </w:pPr>
            <w:r>
              <w:rPr>
                <w:rFonts w:hint="eastAsia" w:ascii="宋体" w:hAnsi="宋体"/>
                <w:color w:val="auto"/>
                <w:kern w:val="0"/>
                <w:highlight w:val="none"/>
              </w:rPr>
              <w:t>1.</w:t>
            </w:r>
            <w:r>
              <w:rPr>
                <w:rFonts w:hint="eastAsia" w:ascii="宋体" w:hAnsi="宋体"/>
                <w:color w:val="auto"/>
                <w:kern w:val="0"/>
                <w:highlight w:val="none"/>
                <w:lang w:eastAsia="zh-CN"/>
              </w:rPr>
              <w:t>前任业主实施违法建造行为的，对现业主责令限期改正，不并处罚款。</w:t>
            </w:r>
          </w:p>
          <w:p>
            <w:pPr>
              <w:pStyle w:val="53"/>
              <w:spacing w:line="260" w:lineRule="exact"/>
              <w:rPr>
                <w:rFonts w:ascii="宋体" w:hAnsi="宋体"/>
                <w:color w:val="auto"/>
                <w:kern w:val="0"/>
                <w:highlight w:val="none"/>
              </w:rPr>
            </w:pPr>
            <w:r>
              <w:rPr>
                <w:rFonts w:hint="eastAsia" w:ascii="宋体" w:hAnsi="宋体"/>
                <w:color w:val="auto"/>
                <w:kern w:val="0"/>
                <w:highlight w:val="none"/>
              </w:rPr>
              <w:t>2.在城市管理行政执法部门</w:t>
            </w:r>
            <w:r>
              <w:rPr>
                <w:rFonts w:hint="eastAsia" w:ascii="宋体" w:hAnsi="宋体"/>
                <w:color w:val="auto"/>
                <w:kern w:val="0"/>
                <w:highlight w:val="none"/>
                <w:lang w:eastAsia="zh-CN"/>
              </w:rPr>
              <w:t>作出</w:t>
            </w:r>
            <w:r>
              <w:rPr>
                <w:rFonts w:hint="eastAsia" w:ascii="宋体" w:hAnsi="宋体"/>
                <w:color w:val="auto"/>
                <w:kern w:val="0"/>
                <w:highlight w:val="none"/>
              </w:rPr>
              <w:t>行政处罚决定之前,当事人自行拆除违法建造的，可以免予处罚。</w:t>
            </w:r>
          </w:p>
          <w:p>
            <w:pPr>
              <w:pStyle w:val="53"/>
              <w:spacing w:line="260" w:lineRule="exact"/>
              <w:rPr>
                <w:rFonts w:ascii="宋体" w:hAnsi="宋体"/>
                <w:color w:val="auto"/>
                <w:kern w:val="0"/>
                <w:highlight w:val="none"/>
              </w:rPr>
            </w:pPr>
            <w:r>
              <w:rPr>
                <w:rFonts w:hint="eastAsia" w:ascii="宋体" w:hAnsi="宋体"/>
                <w:color w:val="auto"/>
                <w:kern w:val="0"/>
                <w:highlight w:val="none"/>
              </w:rPr>
              <w:t>3.本条款处罚的标准应参照《福建省物业管理条例》第五十条之规定。</w:t>
            </w:r>
          </w:p>
          <w:p>
            <w:pPr>
              <w:pStyle w:val="53"/>
              <w:spacing w:line="260" w:lineRule="exact"/>
              <w:rPr>
                <w:rFonts w:ascii="宋体" w:hAnsi="宋体"/>
                <w:color w:val="auto"/>
                <w:kern w:val="0"/>
                <w:u w:val="single"/>
              </w:rPr>
            </w:pPr>
            <w:r>
              <w:rPr>
                <w:rFonts w:hint="eastAsia" w:ascii="宋体" w:hAnsi="宋体"/>
                <w:strike w:val="0"/>
                <w:dstrike w:val="0"/>
                <w:color w:val="auto"/>
                <w:kern w:val="0"/>
                <w:highlight w:val="none"/>
              </w:rPr>
              <w:t>4.增设轻质隔墙</w:t>
            </w:r>
            <w:r>
              <w:rPr>
                <w:rFonts w:hint="eastAsia" w:ascii="宋体" w:hAnsi="宋体"/>
                <w:strike w:val="0"/>
                <w:dstrike w:val="0"/>
                <w:color w:val="auto"/>
                <w:kern w:val="0"/>
                <w:highlight w:val="none"/>
                <w:lang w:eastAsia="zh-CN"/>
              </w:rPr>
              <w:t>且</w:t>
            </w:r>
            <w:r>
              <w:rPr>
                <w:rFonts w:hint="eastAsia" w:ascii="宋体" w:hAnsi="宋体"/>
                <w:strike w:val="0"/>
                <w:dstrike w:val="0"/>
                <w:color w:val="auto"/>
                <w:kern w:val="0"/>
                <w:highlight w:val="none"/>
              </w:rPr>
              <w:t>不涉及一套改多套</w:t>
            </w:r>
            <w:r>
              <w:rPr>
                <w:rFonts w:hint="eastAsia" w:ascii="宋体" w:hAnsi="宋体"/>
                <w:strike w:val="0"/>
                <w:dstrike w:val="0"/>
                <w:color w:val="auto"/>
                <w:kern w:val="0"/>
                <w:highlight w:val="none"/>
                <w:lang w:eastAsia="zh-CN"/>
              </w:rPr>
              <w:t>的</w:t>
            </w:r>
            <w:r>
              <w:rPr>
                <w:rFonts w:hint="eastAsia" w:ascii="宋体" w:hAnsi="宋体"/>
                <w:strike w:val="0"/>
                <w:dstrike w:val="0"/>
                <w:color w:val="auto"/>
                <w:kern w:val="0"/>
                <w:highlight w:val="none"/>
              </w:rPr>
              <w:t>，可以不</w:t>
            </w:r>
            <w:r>
              <w:rPr>
                <w:rFonts w:hint="eastAsia" w:ascii="宋体" w:hAnsi="宋体"/>
                <w:strike w:val="0"/>
                <w:dstrike w:val="0"/>
                <w:color w:val="auto"/>
                <w:kern w:val="0"/>
                <w:highlight w:val="none"/>
                <w:lang w:eastAsia="zh-CN"/>
              </w:rPr>
              <w:t>适用违法建造处理</w:t>
            </w:r>
            <w:r>
              <w:rPr>
                <w:rFonts w:hint="eastAsia" w:ascii="宋体" w:hAnsi="宋体"/>
                <w:strike w:val="0"/>
                <w:dstrike w:val="0"/>
                <w:color w:val="auto"/>
                <w:kern w:val="0"/>
                <w:highlight w:val="none"/>
              </w:rPr>
              <w:t>。</w:t>
            </w:r>
            <w:r>
              <w:rPr>
                <w:rFonts w:hint="eastAsia" w:ascii="宋体" w:hAnsi="宋体"/>
                <w:strike w:val="0"/>
                <w:dstrike w:val="0"/>
                <w:color w:val="auto"/>
                <w:kern w:val="0"/>
                <w:highlight w:val="none"/>
                <w:lang w:eastAsia="zh-CN"/>
              </w:rPr>
              <w:t>轻质隔墙的定义依据住建部《建筑装饰装修工程质量验收标准》“</w:t>
            </w:r>
            <w:r>
              <w:rPr>
                <w:rFonts w:hint="eastAsia" w:ascii="宋体" w:hAnsi="宋体"/>
                <w:strike w:val="0"/>
                <w:dstrike w:val="0"/>
                <w:color w:val="auto"/>
                <w:kern w:val="0"/>
                <w:highlight w:val="none"/>
                <w:lang w:val="en-US" w:eastAsia="zh-CN"/>
              </w:rPr>
              <w:t>8 轻质隔墙工程</w:t>
            </w:r>
            <w:r>
              <w:rPr>
                <w:rFonts w:hint="eastAsia" w:ascii="宋体" w:hAnsi="宋体"/>
                <w:strike w:val="0"/>
                <w:dstrike w:val="0"/>
                <w:color w:val="auto"/>
                <w:kern w:val="0"/>
                <w:highlight w:val="none"/>
                <w:lang w:eastAsia="zh-CN"/>
              </w:rPr>
              <w:t>”。</w:t>
            </w:r>
          </w:p>
        </w:tc>
      </w:tr>
      <w:tr>
        <w:tblPrEx>
          <w:tblCellMar>
            <w:top w:w="0" w:type="dxa"/>
            <w:left w:w="108" w:type="dxa"/>
            <w:bottom w:w="0" w:type="dxa"/>
            <w:right w:w="108" w:type="dxa"/>
          </w:tblCellMar>
        </w:tblPrEx>
        <w:trPr>
          <w:trHeight w:val="2428"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5至</w:t>
            </w:r>
            <w:r>
              <w:rPr>
                <w:rFonts w:hint="eastAsia" w:ascii="宋体" w:hAnsi="宋体" w:cs="宋体"/>
                <w:color w:val="auto"/>
                <w:kern w:val="0"/>
                <w:lang w:val="en-US" w:eastAsia="zh-CN"/>
              </w:rPr>
              <w:t>15</w:t>
            </w:r>
            <w:r>
              <w:rPr>
                <w:rFonts w:hint="eastAsia" w:ascii="宋体" w:hAnsi="宋体" w:cs="宋体"/>
                <w:color w:val="auto"/>
                <w:kern w:val="0"/>
              </w:rPr>
              <w:t>平方米的。</w:t>
            </w:r>
          </w:p>
        </w:tc>
        <w:tc>
          <w:tcPr>
            <w:tcW w:w="1945"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trHeight w:val="2157"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侵占物业管理区域内公共场地、共用部位、共用设施设备进行新建、扩建和改建建筑物、构筑物、其他设施,或者在建（构）筑物内增设楼板及梁柱、增设墙体一套改多套，在室外增设建筑物、构筑物和其它设施等,或者建设地下室，面积在</w:t>
            </w:r>
            <w:r>
              <w:rPr>
                <w:rFonts w:hint="eastAsia" w:ascii="宋体" w:hAnsi="宋体" w:cs="宋体"/>
                <w:color w:val="auto"/>
                <w:kern w:val="0"/>
                <w:lang w:val="en-US" w:eastAsia="zh-CN"/>
              </w:rPr>
              <w:t>15</w:t>
            </w:r>
            <w:r>
              <w:rPr>
                <w:rFonts w:hint="eastAsia" w:ascii="宋体" w:hAnsi="宋体" w:cs="宋体"/>
                <w:color w:val="auto"/>
                <w:kern w:val="0"/>
              </w:rPr>
              <w:t>平方米以上的。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责令限期改正，处以四万元以上五万元以下罚款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trHeight w:val="3414"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ascii="宋体" w:hAnsi="宋体" w:cs="宋体"/>
                <w:color w:val="auto"/>
                <w:kern w:val="0"/>
              </w:rPr>
              <w:t>2</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rPr>
            </w:pPr>
            <w:r>
              <w:rPr>
                <w:rFonts w:hint="eastAsia" w:ascii="宋体" w:hAnsi="宋体"/>
                <w:color w:val="auto"/>
              </w:rPr>
              <w:t>擅自改动房屋建筑主体和承重结构</w:t>
            </w:r>
          </w:p>
        </w:tc>
        <w:tc>
          <w:tcPr>
            <w:tcW w:w="177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rPr>
            </w:pPr>
            <w:r>
              <w:rPr>
                <w:rFonts w:hint="eastAsia" w:ascii="宋体" w:hAnsi="宋体"/>
                <w:color w:val="auto"/>
                <w:lang w:eastAsia="zh-CN"/>
              </w:rPr>
              <w:t>《</w:t>
            </w:r>
            <w:r>
              <w:rPr>
                <w:rFonts w:hint="eastAsia" w:ascii="宋体" w:hAnsi="宋体"/>
                <w:color w:val="auto"/>
              </w:rPr>
              <w:t>厦门市物业管理若干规定</w:t>
            </w:r>
            <w:r>
              <w:rPr>
                <w:rFonts w:hint="eastAsia" w:ascii="宋体" w:hAnsi="宋体"/>
                <w:color w:val="auto"/>
                <w:lang w:eastAsia="zh-CN"/>
              </w:rPr>
              <w:t>》</w:t>
            </w:r>
            <w:r>
              <w:rPr>
                <w:rFonts w:hint="eastAsia" w:ascii="宋体" w:hAnsi="宋体"/>
                <w:color w:val="auto"/>
              </w:rPr>
              <w:t>第二十九条第二款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rPr>
            </w:pPr>
            <w:r>
              <w:rPr>
                <w:rFonts w:hint="eastAsia" w:ascii="宋体" w:hAnsi="宋体"/>
                <w:color w:val="auto"/>
                <w:lang w:eastAsia="zh-CN"/>
              </w:rPr>
              <w:t>《</w:t>
            </w:r>
            <w:r>
              <w:rPr>
                <w:rFonts w:hint="eastAsia" w:ascii="宋体" w:hAnsi="宋体"/>
                <w:color w:val="auto"/>
              </w:rPr>
              <w:t>厦门市物业管理若干规定</w:t>
            </w:r>
            <w:r>
              <w:rPr>
                <w:rFonts w:hint="eastAsia" w:ascii="宋体" w:hAnsi="宋体"/>
                <w:color w:val="auto"/>
                <w:lang w:eastAsia="zh-CN"/>
              </w:rPr>
              <w:t>》</w:t>
            </w:r>
            <w:r>
              <w:rPr>
                <w:rFonts w:hint="eastAsia" w:ascii="宋体" w:hAnsi="宋体"/>
                <w:color w:val="auto"/>
              </w:rPr>
              <w:t>第四十六条  违反本规定第二十九条第二款规定的，由城市管理行政执法部门责令其限期改正，可以处以二万元以上五万元以下的罚款；拒不改正的，由城市管理行政执法部门依法申请人民法院强制执行。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color w:val="auto"/>
              </w:rPr>
            </w:pPr>
            <w:r>
              <w:rPr>
                <w:rFonts w:hint="eastAsia" w:ascii="宋体" w:hAnsi="宋体"/>
                <w:color w:val="auto"/>
              </w:rPr>
              <w:t>轻微</w:t>
            </w:r>
          </w:p>
        </w:tc>
        <w:tc>
          <w:tcPr>
            <w:tcW w:w="3797" w:type="dxa"/>
            <w:tcBorders>
              <w:top w:val="nil"/>
              <w:left w:val="nil"/>
              <w:bottom w:val="single" w:color="auto" w:sz="4" w:space="0"/>
              <w:right w:val="single" w:color="auto" w:sz="4" w:space="0"/>
            </w:tcBorders>
            <w:vAlign w:val="center"/>
          </w:tcPr>
          <w:p>
            <w:pPr>
              <w:rPr>
                <w:rFonts w:ascii="宋体" w:hAnsi="宋体" w:cs="宋体"/>
                <w:color w:val="auto"/>
              </w:rPr>
            </w:pPr>
            <w:r>
              <w:rPr>
                <w:rFonts w:hint="eastAsia" w:ascii="宋体" w:hAnsi="宋体"/>
                <w:color w:val="auto"/>
              </w:rPr>
              <w:t>拆除、变动建筑物的建筑主体等2平方米以下或拆改承重结构等1平方米以下的。</w:t>
            </w:r>
          </w:p>
        </w:tc>
        <w:tc>
          <w:tcPr>
            <w:tcW w:w="1945" w:type="dxa"/>
            <w:tcBorders>
              <w:top w:val="nil"/>
              <w:left w:val="nil"/>
              <w:bottom w:val="single" w:color="auto" w:sz="4" w:space="0"/>
              <w:right w:val="single" w:color="auto" w:sz="4" w:space="0"/>
            </w:tcBorders>
            <w:vAlign w:val="center"/>
          </w:tcPr>
          <w:p>
            <w:pPr>
              <w:rPr>
                <w:rFonts w:ascii="宋体" w:hAnsi="宋体" w:cs="宋体"/>
                <w:color w:val="auto"/>
              </w:rPr>
            </w:pPr>
            <w:r>
              <w:rPr>
                <w:rFonts w:hint="eastAsia" w:ascii="宋体" w:hAnsi="宋体"/>
                <w:color w:val="auto"/>
              </w:rPr>
              <w:t>责令限期改正，可以处以二万元以上三万元以下罚款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280" w:lineRule="exact"/>
              <w:rPr>
                <w:rFonts w:hint="eastAsia" w:ascii="宋体" w:hAnsi="宋体" w:cs="宋体"/>
                <w:color w:val="auto"/>
                <w:kern w:val="0"/>
              </w:rPr>
            </w:pPr>
            <w:r>
              <w:rPr>
                <w:rFonts w:hint="eastAsia" w:ascii="宋体" w:hAnsi="宋体" w:cs="宋体"/>
                <w:color w:val="auto"/>
                <w:kern w:val="0"/>
              </w:rPr>
              <w:t>1-</w:t>
            </w:r>
            <w:r>
              <w:rPr>
                <w:rFonts w:hint="eastAsia" w:ascii="宋体" w:hAnsi="宋体" w:cs="宋体"/>
                <w:strike w:val="0"/>
                <w:dstrike w:val="0"/>
                <w:color w:val="auto"/>
                <w:kern w:val="0"/>
                <w:lang w:val="en-US" w:eastAsia="zh-CN"/>
              </w:rPr>
              <w:t>3</w:t>
            </w:r>
            <w:r>
              <w:rPr>
                <w:rFonts w:hint="eastAsia" w:ascii="宋体" w:hAnsi="宋体" w:cs="宋体"/>
                <w:color w:val="auto"/>
                <w:kern w:val="0"/>
              </w:rPr>
              <w:t>同上。</w:t>
            </w:r>
          </w:p>
          <w:p>
            <w:pPr>
              <w:widowControl/>
              <w:spacing w:line="280" w:lineRule="exact"/>
              <w:rPr>
                <w:rFonts w:hint="eastAsia" w:ascii="宋体" w:hAnsi="宋体" w:eastAsia="宋体" w:cs="宋体"/>
                <w:color w:val="auto"/>
                <w:kern w:val="0"/>
                <w:lang w:val="en-US" w:eastAsia="zh-CN"/>
              </w:rPr>
            </w:pPr>
            <w:r>
              <w:rPr>
                <w:rFonts w:hint="eastAsia" w:ascii="宋体" w:hAnsi="宋体" w:cs="宋体"/>
                <w:color w:val="auto"/>
                <w:kern w:val="0"/>
                <w:lang w:val="en-US" w:eastAsia="zh-CN"/>
              </w:rPr>
              <w:t>4.</w:t>
            </w:r>
            <w:r>
              <w:rPr>
                <w:rFonts w:hint="eastAsia" w:ascii="宋体" w:hAnsi="宋体"/>
                <w:strike w:val="0"/>
                <w:dstrike w:val="0"/>
                <w:color w:val="auto"/>
                <w:kern w:val="0"/>
              </w:rPr>
              <w:t>增设轻质隔墙，可以不</w:t>
            </w:r>
            <w:r>
              <w:rPr>
                <w:rFonts w:hint="eastAsia" w:ascii="宋体" w:hAnsi="宋体"/>
                <w:strike w:val="0"/>
                <w:dstrike w:val="0"/>
                <w:color w:val="auto"/>
                <w:kern w:val="0"/>
                <w:lang w:eastAsia="zh-CN"/>
              </w:rPr>
              <w:t>适用本项目处理。轻质隔墙的定义依据住建部《建筑装饰装修工程质量验收标准》“</w:t>
            </w:r>
            <w:r>
              <w:rPr>
                <w:rFonts w:hint="eastAsia" w:ascii="宋体" w:hAnsi="宋体"/>
                <w:strike w:val="0"/>
                <w:dstrike w:val="0"/>
                <w:color w:val="auto"/>
                <w:kern w:val="0"/>
                <w:lang w:val="en-US" w:eastAsia="zh-CN"/>
              </w:rPr>
              <w:t>8 轻质隔墙工程</w:t>
            </w:r>
            <w:r>
              <w:rPr>
                <w:rFonts w:hint="eastAsia" w:ascii="宋体" w:hAnsi="宋体"/>
                <w:strike w:val="0"/>
                <w:dstrike w:val="0"/>
                <w:color w:val="auto"/>
                <w:kern w:val="0"/>
                <w:lang w:eastAsia="zh-CN"/>
              </w:rPr>
              <w:t>”。</w:t>
            </w:r>
          </w:p>
          <w:p>
            <w:pPr>
              <w:widowControl/>
              <w:spacing w:line="280" w:lineRule="exact"/>
              <w:rPr>
                <w:rFonts w:ascii="宋体" w:hAnsi="宋体"/>
                <w:color w:val="auto"/>
              </w:rPr>
            </w:pPr>
            <w:r>
              <w:rPr>
                <w:rFonts w:hint="eastAsia" w:ascii="宋体" w:hAnsi="宋体" w:cs="宋体"/>
                <w:color w:val="auto"/>
                <w:kern w:val="0"/>
              </w:rPr>
              <w:t>5.经原设计单位或者具有相应资质的单位出具设计方案或鉴定意见，符合相关技术规范或标准的，可以不予处罚。</w:t>
            </w:r>
          </w:p>
          <w:p>
            <w:pPr>
              <w:widowControl/>
              <w:spacing w:line="280" w:lineRule="exact"/>
              <w:rPr>
                <w:rFonts w:ascii="宋体"/>
                <w:color w:val="auto"/>
                <w:kern w:val="0"/>
              </w:rPr>
            </w:pPr>
            <w:r>
              <w:rPr>
                <w:rFonts w:hint="eastAsia" w:ascii="宋体" w:hAnsi="宋体"/>
                <w:color w:val="auto"/>
              </w:rPr>
              <w:t>建筑主体是指建筑实体的结构构造，包括屋盖、楼盖、梁、柱、支撑、墙体、连接接点和基础；承重结构是指直接将自重与各种外加作用力系统地传递给基础地基的主要结构构件和其连接接点，包括承重墙体、立杆、柱、框架柱、支墩、楼板、梁、屋架、悬索等。</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auto"/>
                <w:kern w:val="0"/>
              </w:rPr>
            </w:pPr>
          </w:p>
        </w:tc>
        <w:tc>
          <w:tcPr>
            <w:tcW w:w="986"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rPr>
            </w:pPr>
            <w:r>
              <w:rPr>
                <w:rFonts w:hint="eastAsia" w:ascii="宋体" w:hAnsi="宋体"/>
                <w:color w:val="auto"/>
              </w:rPr>
              <w:t>一般</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rPr>
            </w:pPr>
            <w:r>
              <w:rPr>
                <w:rFonts w:hint="eastAsia" w:ascii="宋体" w:hAnsi="宋体"/>
                <w:color w:val="auto"/>
              </w:rPr>
              <w:t>拆除、变动建筑物的建筑主体等2至4平方米或拆改承重结构等1至2平方米的。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rPr>
            </w:pPr>
            <w:r>
              <w:rPr>
                <w:rFonts w:hint="eastAsia" w:ascii="宋体" w:hAnsi="宋体"/>
                <w:color w:val="auto"/>
              </w:rPr>
              <w:t>责令限期改正，可以处以三万元以上四万元以下罚款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auto"/>
                <w:kern w:val="0"/>
              </w:rPr>
            </w:pPr>
          </w:p>
        </w:tc>
      </w:tr>
      <w:tr>
        <w:tblPrEx>
          <w:tblCellMar>
            <w:top w:w="0" w:type="dxa"/>
            <w:left w:w="108" w:type="dxa"/>
            <w:bottom w:w="0" w:type="dxa"/>
            <w:right w:w="108" w:type="dxa"/>
          </w:tblCellMar>
        </w:tblPrEx>
        <w:trPr>
          <w:trHeight w:val="1713"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color w:val="auto"/>
                <w:kern w:val="0"/>
              </w:rPr>
            </w:pPr>
          </w:p>
        </w:tc>
        <w:tc>
          <w:tcPr>
            <w:tcW w:w="986" w:type="dxa"/>
            <w:tcBorders>
              <w:top w:val="nil"/>
              <w:left w:val="nil"/>
              <w:bottom w:val="single" w:color="auto" w:sz="4" w:space="0"/>
              <w:right w:val="single" w:color="auto" w:sz="4" w:space="0"/>
            </w:tcBorders>
            <w:vAlign w:val="center"/>
          </w:tcPr>
          <w:p>
            <w:pPr>
              <w:widowControl/>
              <w:spacing w:line="280" w:lineRule="exact"/>
              <w:jc w:val="center"/>
              <w:rPr>
                <w:rFonts w:ascii="宋体" w:hAnsi="宋体"/>
                <w:color w:val="auto"/>
                <w:kern w:val="0"/>
              </w:rPr>
            </w:pPr>
            <w:r>
              <w:rPr>
                <w:rFonts w:hint="eastAsia" w:ascii="宋体" w:hAnsi="宋体"/>
                <w:color w:val="auto"/>
              </w:rPr>
              <w:t>严重</w:t>
            </w:r>
          </w:p>
        </w:tc>
        <w:tc>
          <w:tcPr>
            <w:tcW w:w="3797"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rPr>
            </w:pPr>
            <w:r>
              <w:rPr>
                <w:rFonts w:hint="eastAsia" w:ascii="宋体" w:hAnsi="宋体"/>
                <w:color w:val="auto"/>
              </w:rPr>
              <w:t>拆除、变动建筑物的建筑主体等4平方米以上或拆改承重结构等2平方米以上的。</w:t>
            </w:r>
          </w:p>
        </w:tc>
        <w:tc>
          <w:tcPr>
            <w:tcW w:w="1945" w:type="dxa"/>
            <w:tcBorders>
              <w:top w:val="nil"/>
              <w:left w:val="nil"/>
              <w:bottom w:val="single" w:color="auto" w:sz="4" w:space="0"/>
              <w:right w:val="single" w:color="auto" w:sz="4" w:space="0"/>
            </w:tcBorders>
            <w:vAlign w:val="center"/>
          </w:tcPr>
          <w:p>
            <w:pPr>
              <w:widowControl/>
              <w:spacing w:line="280" w:lineRule="exact"/>
              <w:jc w:val="left"/>
              <w:rPr>
                <w:rFonts w:ascii="宋体" w:hAnsi="宋体"/>
                <w:color w:val="auto"/>
                <w:kern w:val="0"/>
              </w:rPr>
            </w:pPr>
            <w:r>
              <w:rPr>
                <w:rFonts w:hint="eastAsia" w:ascii="宋体" w:hAnsi="宋体"/>
                <w:color w:val="auto"/>
              </w:rPr>
              <w:t>责令限期改正，处以四万元以上五万元以下罚款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auto"/>
                <w:kern w:val="0"/>
              </w:rPr>
            </w:pPr>
          </w:p>
        </w:tc>
      </w:tr>
      <w:tr>
        <w:tblPrEx>
          <w:tblCellMar>
            <w:top w:w="0" w:type="dxa"/>
            <w:left w:w="108" w:type="dxa"/>
            <w:bottom w:w="0" w:type="dxa"/>
            <w:right w:w="108" w:type="dxa"/>
          </w:tblCellMar>
        </w:tblPrEx>
        <w:trPr>
          <w:trHeight w:val="226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hAnsi="宋体" w:cs="宋体"/>
                <w:color w:val="auto"/>
                <w:kern w:val="0"/>
              </w:rPr>
            </w:pPr>
          </w:p>
          <w:p>
            <w:pPr>
              <w:widowControl/>
              <w:spacing w:line="320" w:lineRule="exact"/>
              <w:jc w:val="center"/>
              <w:rPr>
                <w:rFonts w:ascii="宋体"/>
                <w:color w:val="auto"/>
                <w:kern w:val="0"/>
              </w:rPr>
            </w:pPr>
            <w:r>
              <w:rPr>
                <w:rFonts w:ascii="宋体" w:hAnsi="宋体" w:cs="宋体"/>
                <w:color w:val="auto"/>
                <w:kern w:val="0"/>
              </w:rPr>
              <w:t>3</w:t>
            </w:r>
          </w:p>
        </w:tc>
        <w:tc>
          <w:tcPr>
            <w:tcW w:w="12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color w:val="auto"/>
              </w:rPr>
            </w:pPr>
            <w:r>
              <w:rPr>
                <w:rFonts w:hint="eastAsia" w:ascii="宋体" w:hAnsi="宋体"/>
                <w:color w:val="auto"/>
              </w:rPr>
              <w:t>改变建筑设计使用功能</w:t>
            </w:r>
          </w:p>
        </w:tc>
        <w:tc>
          <w:tcPr>
            <w:tcW w:w="1770"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auto"/>
              </w:rPr>
            </w:pPr>
            <w:r>
              <w:rPr>
                <w:rFonts w:hint="eastAsia" w:ascii="宋体" w:hAnsi="宋体"/>
                <w:color w:val="auto"/>
                <w:lang w:eastAsia="zh-CN"/>
              </w:rPr>
              <w:t>《</w:t>
            </w:r>
            <w:r>
              <w:rPr>
                <w:rFonts w:hint="eastAsia" w:ascii="宋体" w:hAnsi="宋体"/>
                <w:color w:val="auto"/>
              </w:rPr>
              <w:t>厦门市物业管理若干规定</w:t>
            </w:r>
            <w:r>
              <w:rPr>
                <w:rFonts w:hint="eastAsia" w:ascii="宋体" w:hAnsi="宋体"/>
                <w:color w:val="auto"/>
                <w:lang w:eastAsia="zh-CN"/>
              </w:rPr>
              <w:t>》</w:t>
            </w:r>
            <w:r>
              <w:rPr>
                <w:rFonts w:hint="eastAsia" w:ascii="宋体" w:hAnsi="宋体"/>
                <w:color w:val="auto"/>
              </w:rPr>
              <w:t>第二十九条第二款 业主或者使用人不得违法建造、擅自改动房屋建筑主体和承重结构、改变建筑设计使用功能。</w:t>
            </w:r>
          </w:p>
        </w:tc>
        <w:tc>
          <w:tcPr>
            <w:tcW w:w="2039" w:type="dxa"/>
            <w:vMerge w:val="restart"/>
            <w:tcBorders>
              <w:top w:val="nil"/>
              <w:left w:val="single" w:color="auto" w:sz="4" w:space="0"/>
              <w:bottom w:val="single" w:color="auto" w:sz="4" w:space="0"/>
              <w:right w:val="single" w:color="auto" w:sz="4" w:space="0"/>
            </w:tcBorders>
            <w:vAlign w:val="center"/>
          </w:tcPr>
          <w:p>
            <w:pPr>
              <w:rPr>
                <w:rFonts w:ascii="宋体" w:hAnsi="宋体" w:cs="宋体"/>
                <w:color w:val="auto"/>
              </w:rPr>
            </w:pPr>
            <w:r>
              <w:rPr>
                <w:rFonts w:hint="eastAsia" w:ascii="宋体" w:hAnsi="宋体"/>
                <w:color w:val="auto"/>
                <w:lang w:eastAsia="zh-CN"/>
              </w:rPr>
              <w:t>《</w:t>
            </w:r>
            <w:bookmarkStart w:id="0" w:name="_GoBack"/>
            <w:bookmarkEnd w:id="0"/>
            <w:r>
              <w:rPr>
                <w:rFonts w:hint="eastAsia" w:ascii="宋体" w:hAnsi="宋体"/>
                <w:color w:val="auto"/>
              </w:rPr>
              <w:t>厦门市物业管理若干规定</w:t>
            </w:r>
            <w:r>
              <w:rPr>
                <w:rFonts w:hint="eastAsia" w:ascii="宋体" w:hAnsi="宋体"/>
                <w:color w:val="auto"/>
                <w:lang w:eastAsia="zh-CN"/>
              </w:rPr>
              <w:t>》</w:t>
            </w:r>
            <w:r>
              <w:rPr>
                <w:rFonts w:hint="eastAsia" w:ascii="宋体" w:hAnsi="宋体"/>
                <w:color w:val="auto"/>
              </w:rPr>
              <w:t>第四十六条  违反本规定第二十九条第二款规定的，由城市管理行政执法部门责令其限期改正，可以处以二万元以上五万元以下的罚款；拒不改正的，由城市管理行政执法部门依法申请人民法院强制执行。</w:t>
            </w:r>
          </w:p>
        </w:tc>
        <w:tc>
          <w:tcPr>
            <w:tcW w:w="986" w:type="dxa"/>
            <w:tcBorders>
              <w:top w:val="nil"/>
              <w:left w:val="single" w:color="auto" w:sz="4" w:space="0"/>
              <w:bottom w:val="single" w:color="auto" w:sz="4" w:space="0"/>
              <w:right w:val="single" w:color="auto" w:sz="4" w:space="0"/>
            </w:tcBorders>
            <w:vAlign w:val="center"/>
          </w:tcPr>
          <w:p>
            <w:pPr>
              <w:jc w:val="center"/>
              <w:rPr>
                <w:rFonts w:ascii="宋体" w:hAnsi="宋体" w:cs="宋体"/>
                <w:color w:val="auto"/>
              </w:rPr>
            </w:pPr>
            <w:r>
              <w:rPr>
                <w:rFonts w:hint="eastAsia" w:ascii="宋体" w:hAnsi="宋体"/>
                <w:color w:val="auto"/>
              </w:rPr>
              <w:t>轻微</w:t>
            </w:r>
          </w:p>
        </w:tc>
        <w:tc>
          <w:tcPr>
            <w:tcW w:w="379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rPr>
            </w:pPr>
            <w:r>
              <w:rPr>
                <w:rFonts w:hint="eastAsia" w:ascii="宋体" w:hAnsi="宋体"/>
                <w:color w:val="auto"/>
              </w:rPr>
              <w:t>改变建筑设计使用功能，面积在5平方米以内的</w:t>
            </w:r>
          </w:p>
        </w:tc>
        <w:tc>
          <w:tcPr>
            <w:tcW w:w="1945"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auto"/>
              </w:rPr>
            </w:pPr>
            <w:r>
              <w:rPr>
                <w:rFonts w:hint="eastAsia" w:ascii="宋体" w:hAnsi="宋体"/>
                <w:color w:val="auto"/>
              </w:rPr>
              <w:t>责令限期改正，可以处以二万元以上三万元以下罚款</w:t>
            </w:r>
          </w:p>
        </w:tc>
        <w:tc>
          <w:tcPr>
            <w:tcW w:w="225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80" w:lineRule="exact"/>
              <w:rPr>
                <w:rFonts w:ascii="宋体" w:hAnsi="宋体"/>
                <w:color w:val="auto"/>
                <w:kern w:val="0"/>
              </w:rPr>
            </w:pPr>
            <w:r>
              <w:rPr>
                <w:rFonts w:hint="eastAsia" w:ascii="宋体" w:hAnsi="宋体"/>
                <w:color w:val="auto"/>
                <w:kern w:val="0"/>
              </w:rPr>
              <w:t>1、本条款处罚的标准应参照《福建省物业管理条例》第五十条第一</w:t>
            </w:r>
            <w:r>
              <w:rPr>
                <w:rFonts w:hint="eastAsia" w:ascii="宋体" w:hAnsi="宋体"/>
                <w:color w:val="auto"/>
                <w:kern w:val="0"/>
                <w:lang w:eastAsia="zh-CN"/>
              </w:rPr>
              <w:t>项</w:t>
            </w:r>
            <w:r>
              <w:rPr>
                <w:rFonts w:hint="eastAsia" w:ascii="宋体" w:hAnsi="宋体"/>
                <w:color w:val="auto"/>
                <w:kern w:val="0"/>
              </w:rPr>
              <w:t>“改变涉及图纸确定的卫生间、厨房位置”；第四</w:t>
            </w:r>
            <w:r>
              <w:rPr>
                <w:rFonts w:hint="eastAsia" w:ascii="宋体" w:hAnsi="宋体"/>
                <w:color w:val="auto"/>
                <w:kern w:val="0"/>
                <w:lang w:eastAsia="zh-CN"/>
              </w:rPr>
              <w:t>项</w:t>
            </w:r>
            <w:r>
              <w:rPr>
                <w:rFonts w:hint="eastAsia" w:ascii="宋体" w:hAnsi="宋体"/>
                <w:color w:val="auto"/>
                <w:kern w:val="0"/>
              </w:rPr>
              <w:t>“擅自改变规划用途，将住宅、车位（库）、储藏间改变为经营性用房之规定”。</w:t>
            </w:r>
          </w:p>
          <w:p>
            <w:pPr>
              <w:widowControl/>
              <w:spacing w:line="280" w:lineRule="exact"/>
              <w:rPr>
                <w:rFonts w:ascii="宋体"/>
                <w:color w:val="auto"/>
                <w:kern w:val="0"/>
              </w:rPr>
            </w:pPr>
            <w:r>
              <w:rPr>
                <w:rFonts w:hint="eastAsia" w:ascii="宋体" w:hAnsi="宋体" w:cs="宋体"/>
                <w:color w:val="auto"/>
                <w:kern w:val="0"/>
              </w:rPr>
              <w:t>2.在城市管理行政执法部门作出行政处罚决定之前,当事人自行改正违法行为的，可以免予处罚。　</w:t>
            </w:r>
          </w:p>
        </w:tc>
      </w:tr>
      <w:tr>
        <w:tblPrEx>
          <w:tblCellMar>
            <w:top w:w="0" w:type="dxa"/>
            <w:left w:w="108" w:type="dxa"/>
            <w:bottom w:w="0" w:type="dxa"/>
            <w:right w:w="108" w:type="dxa"/>
          </w:tblCellMar>
        </w:tblPrEx>
        <w:trPr>
          <w:trHeight w:val="2400"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left"/>
              <w:rPr>
                <w:rFonts w:ascii="宋体" w:hAnsi="宋体"/>
                <w:color w:val="auto"/>
                <w:kern w:val="0"/>
              </w:rPr>
            </w:pPr>
            <w:r>
              <w:rPr>
                <w:rFonts w:hint="eastAsia" w:ascii="宋体" w:hAnsi="宋体" w:cs="宋体"/>
                <w:color w:val="auto"/>
                <w:kern w:val="0"/>
              </w:rPr>
              <w:t>一般</w:t>
            </w:r>
          </w:p>
        </w:tc>
        <w:tc>
          <w:tcPr>
            <w:tcW w:w="3797"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r>
              <w:rPr>
                <w:rFonts w:hint="eastAsia" w:ascii="宋体" w:hAnsi="宋体" w:cs="宋体"/>
                <w:color w:val="auto"/>
                <w:kern w:val="0"/>
              </w:rPr>
              <w:t>改变建筑设计使用功能，面积在</w:t>
            </w:r>
            <w:r>
              <w:rPr>
                <w:rFonts w:ascii="宋体" w:hAnsi="宋体" w:cs="宋体"/>
                <w:color w:val="auto"/>
                <w:kern w:val="0"/>
              </w:rPr>
              <w:t>5</w:t>
            </w:r>
            <w:r>
              <w:rPr>
                <w:rFonts w:hint="eastAsia" w:ascii="宋体" w:hAnsi="宋体" w:cs="宋体"/>
                <w:color w:val="auto"/>
                <w:kern w:val="0"/>
              </w:rPr>
              <w:t>至</w:t>
            </w:r>
            <w:r>
              <w:rPr>
                <w:rFonts w:ascii="宋体" w:hAnsi="宋体" w:cs="宋体"/>
                <w:color w:val="auto"/>
                <w:kern w:val="0"/>
              </w:rPr>
              <w:t>1</w:t>
            </w:r>
            <w:r>
              <w:rPr>
                <w:rFonts w:hint="eastAsia" w:ascii="宋体" w:hAnsi="宋体" w:cs="宋体"/>
                <w:color w:val="auto"/>
                <w:kern w:val="0"/>
                <w:lang w:val="en-US" w:eastAsia="zh-CN"/>
              </w:rPr>
              <w:t>5</w:t>
            </w:r>
            <w:r>
              <w:rPr>
                <w:rFonts w:hint="eastAsia" w:ascii="宋体" w:hAnsi="宋体" w:cs="宋体"/>
                <w:color w:val="auto"/>
                <w:kern w:val="0"/>
              </w:rPr>
              <w:t>平方米的</w:t>
            </w:r>
          </w:p>
        </w:tc>
        <w:tc>
          <w:tcPr>
            <w:tcW w:w="194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r>
              <w:rPr>
                <w:rFonts w:hint="eastAsia" w:ascii="宋体" w:hAnsi="宋体" w:cs="宋体"/>
                <w:color w:val="auto"/>
                <w:kern w:val="0"/>
              </w:rPr>
              <w:t>责令限期改正，可以处以三万元以上四万元以下罚款</w:t>
            </w: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color w:val="auto"/>
                <w:kern w:val="0"/>
              </w:rPr>
            </w:pPr>
          </w:p>
        </w:tc>
      </w:tr>
      <w:tr>
        <w:tblPrEx>
          <w:tblCellMar>
            <w:top w:w="0" w:type="dxa"/>
            <w:left w:w="108" w:type="dxa"/>
            <w:bottom w:w="0" w:type="dxa"/>
            <w:right w:w="108" w:type="dxa"/>
          </w:tblCellMar>
        </w:tblPrEx>
        <w:trPr>
          <w:trHeight w:val="1050"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hAnsi="宋体"/>
                <w:color w:val="auto"/>
                <w:kern w:val="0"/>
              </w:rPr>
            </w:pPr>
            <w:r>
              <w:rPr>
                <w:rFonts w:hint="eastAsia" w:ascii="宋体" w:hAnsi="宋体"/>
                <w:color w:val="auto"/>
              </w:rPr>
              <w:t>严重</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hAnsi="宋体"/>
                <w:color w:val="auto"/>
                <w:kern w:val="0"/>
              </w:rPr>
            </w:pPr>
            <w:r>
              <w:rPr>
                <w:rFonts w:hint="eastAsia" w:ascii="宋体" w:hAnsi="宋体"/>
                <w:color w:val="auto"/>
              </w:rPr>
              <w:t>改变建筑设计使用功能，面积在1</w:t>
            </w:r>
            <w:r>
              <w:rPr>
                <w:rFonts w:hint="eastAsia" w:ascii="宋体" w:hAnsi="宋体"/>
                <w:color w:val="auto"/>
                <w:lang w:val="en-US" w:eastAsia="zh-CN"/>
              </w:rPr>
              <w:t>5</w:t>
            </w:r>
            <w:r>
              <w:rPr>
                <w:rFonts w:hint="eastAsia" w:ascii="宋体" w:hAnsi="宋体"/>
                <w:color w:val="auto"/>
              </w:rPr>
              <w:t>平方米以上的</w:t>
            </w:r>
          </w:p>
        </w:tc>
        <w:tc>
          <w:tcPr>
            <w:tcW w:w="1945"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hAnsi="宋体"/>
                <w:color w:val="auto"/>
                <w:kern w:val="0"/>
              </w:rPr>
            </w:pPr>
            <w:r>
              <w:rPr>
                <w:rFonts w:hint="eastAsia" w:ascii="宋体" w:hAnsi="宋体"/>
                <w:color w:val="auto"/>
              </w:rPr>
              <w:t>责令限期改正，处以四万元以上五万元以下罚款</w:t>
            </w:r>
          </w:p>
        </w:tc>
        <w:tc>
          <w:tcPr>
            <w:tcW w:w="225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color w:val="auto"/>
                <w:kern w:val="0"/>
              </w:rPr>
            </w:pPr>
          </w:p>
        </w:tc>
      </w:tr>
      <w:tr>
        <w:tblPrEx>
          <w:tblCellMar>
            <w:top w:w="0" w:type="dxa"/>
            <w:left w:w="108" w:type="dxa"/>
            <w:bottom w:w="0" w:type="dxa"/>
            <w:right w:w="108" w:type="dxa"/>
          </w:tblCellMar>
        </w:tblPrEx>
        <w:trPr>
          <w:trHeight w:val="2066"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ascii="宋体" w:hAnsi="宋体" w:cs="宋体"/>
                <w:color w:val="auto"/>
                <w:kern w:val="0"/>
              </w:rPr>
              <w:t>4</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物业服务企业发现有业主或使用人的违法行为未立即制止，并在二十四小时内报告城市管理行政执法部门的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第二十九条第三款 物业服务企业发现业主或使用人存在违法行为时，应当立即制止，并在二十四小时内报告城市管理行政执法部门。</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第四十七条  物业服务企业违反本规定第二十九条第三款规定的，由城市管理行政执法部门责令其改正；造成严重后果的，可以处以一千元以上五千元以下的罚款。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hint="eastAsia" w:ascii="宋体" w:eastAsia="宋体"/>
                <w:color w:val="auto"/>
                <w:kern w:val="0"/>
                <w:lang w:eastAsia="zh-CN"/>
              </w:rPr>
            </w:pPr>
            <w:r>
              <w:rPr>
                <w:rFonts w:hint="eastAsia" w:ascii="宋体" w:hAnsi="宋体" w:cs="宋体"/>
                <w:color w:val="auto"/>
                <w:kern w:val="0"/>
                <w:lang w:eastAsia="zh-CN"/>
              </w:rPr>
              <w:t>不予处罚</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有制止违法行为但未在</w:t>
            </w:r>
            <w:r>
              <w:rPr>
                <w:rFonts w:ascii="宋体" w:hAnsi="宋体" w:cs="宋体"/>
                <w:color w:val="auto"/>
                <w:kern w:val="0"/>
              </w:rPr>
              <w:t>24</w:t>
            </w:r>
            <w:r>
              <w:rPr>
                <w:rFonts w:hint="eastAsia" w:ascii="宋体" w:hAnsi="宋体" w:cs="宋体"/>
                <w:color w:val="auto"/>
                <w:kern w:val="0"/>
              </w:rPr>
              <w:t>小时内报告城管执法部门</w:t>
            </w:r>
            <w:r>
              <w:rPr>
                <w:rFonts w:ascii="宋体" w:cs="宋体"/>
                <w:color w:val="auto"/>
                <w:kern w:val="0"/>
              </w:rPr>
              <w:t>,</w:t>
            </w:r>
            <w:r>
              <w:rPr>
                <w:rFonts w:hint="eastAsia" w:ascii="宋体" w:hAnsi="宋体" w:cs="宋体"/>
                <w:color w:val="auto"/>
                <w:kern w:val="0"/>
              </w:rPr>
              <w:t>且违法行为未既成事实的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rPr>
                <w:rFonts w:ascii="宋体"/>
                <w:color w:val="auto"/>
                <w:kern w:val="0"/>
              </w:rPr>
            </w:pPr>
            <w:r>
              <w:rPr>
                <w:rFonts w:hint="eastAsia" w:ascii="宋体" w:hAnsi="宋体" w:cs="宋体"/>
                <w:color w:val="auto"/>
                <w:kern w:val="0"/>
              </w:rPr>
              <w:t>房屋装修应当在开工前向物业管理区域内的物业服务企业申报登记。物业服务企业应当将本条规定和房屋装修中的其他禁止行为、注意事项书面告知业主或者使用人，并由其签字确认。</w:t>
            </w:r>
          </w:p>
        </w:tc>
      </w:tr>
      <w:tr>
        <w:tblPrEx>
          <w:tblCellMar>
            <w:top w:w="0" w:type="dxa"/>
            <w:left w:w="108" w:type="dxa"/>
            <w:bottom w:w="0" w:type="dxa"/>
            <w:right w:w="108" w:type="dxa"/>
          </w:tblCellMar>
        </w:tblPrEx>
        <w:trPr>
          <w:trHeight w:val="2246"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有制止但未在</w:t>
            </w:r>
            <w:r>
              <w:rPr>
                <w:rFonts w:ascii="宋体" w:hAnsi="宋体" w:cs="宋体"/>
                <w:color w:val="auto"/>
                <w:kern w:val="0"/>
              </w:rPr>
              <w:t>24</w:t>
            </w:r>
            <w:r>
              <w:rPr>
                <w:rFonts w:hint="eastAsia" w:ascii="宋体" w:hAnsi="宋体" w:cs="宋体"/>
                <w:color w:val="auto"/>
                <w:kern w:val="0"/>
              </w:rPr>
              <w:t>小时内报告城管执法部门</w:t>
            </w:r>
            <w:r>
              <w:rPr>
                <w:rFonts w:ascii="宋体" w:cs="宋体"/>
                <w:color w:val="auto"/>
                <w:kern w:val="0"/>
              </w:rPr>
              <w:t>,</w:t>
            </w:r>
            <w:r>
              <w:rPr>
                <w:rFonts w:hint="eastAsia" w:ascii="宋体" w:hAnsi="宋体" w:cs="宋体"/>
                <w:color w:val="auto"/>
                <w:kern w:val="0"/>
              </w:rPr>
              <w:t>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责令改正，并处一千元以上三千元以下罚款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trHeight w:val="2141" w:hRule="atLeast"/>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未制止违法行为，未在</w:t>
            </w:r>
            <w:r>
              <w:rPr>
                <w:rFonts w:ascii="宋体" w:hAnsi="宋体" w:cs="宋体"/>
                <w:color w:val="auto"/>
                <w:kern w:val="0"/>
              </w:rPr>
              <w:t>24</w:t>
            </w:r>
            <w:r>
              <w:rPr>
                <w:rFonts w:hint="eastAsia" w:ascii="宋体" w:hAnsi="宋体" w:cs="宋体"/>
                <w:color w:val="auto"/>
                <w:kern w:val="0"/>
              </w:rPr>
              <w:t>小时内报告城管执法部门，使违法行为既成事实的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责令改正，并处三千元以上五千元以下罚款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ascii="宋体" w:hAnsi="宋体" w:cs="宋体"/>
                <w:color w:val="auto"/>
                <w:kern w:val="0"/>
              </w:rPr>
              <w:t>5</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00" w:lineRule="exact"/>
              <w:rPr>
                <w:rFonts w:ascii="宋体"/>
                <w:color w:val="auto"/>
                <w:kern w:val="0"/>
              </w:rPr>
            </w:pPr>
            <w:r>
              <w:rPr>
                <w:rFonts w:hint="eastAsia" w:ascii="宋体" w:hAnsi="宋体" w:cs="宋体"/>
                <w:color w:val="auto"/>
                <w:kern w:val="0"/>
              </w:rPr>
              <w:t>施工单位在物业管理区域内开挖、埋设或者维修供电、给排水、排污、燃气、电信等管道管线，除抢修等紧急情况外，未与物业服务企业就开挖后的路面、绿地等恢复原状的事项签订协议后施工，并未就协议内容及其履行情况在物业管理区域内进行公示</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第三十条 在物业管理区域内开挖、埋设或者维修供电、给排水、排污、燃气、电信等管道管线，除抢修等紧急情况外，应当与物业服务企业就开挖后的路面、绿地等恢复原状的事项签订协议后方可施工，并就协议内容及其履行情况在物业管理区域内进行公示。</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第四十八条 施工单位违反本规定第三十条规定的，由城市管理行政执法部门责令改正；拒不改正的，可以处以一万元以上三万元以下的罚款。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轻微</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开挖面积在</w:t>
            </w:r>
            <w:r>
              <w:rPr>
                <w:rFonts w:ascii="宋体" w:hAnsi="宋体" w:cs="宋体"/>
                <w:color w:val="auto"/>
                <w:kern w:val="0"/>
              </w:rPr>
              <w:t>50</w:t>
            </w:r>
            <w:r>
              <w:rPr>
                <w:rFonts w:hint="eastAsia" w:ascii="宋体" w:hAnsi="宋体" w:cs="宋体"/>
                <w:color w:val="auto"/>
                <w:kern w:val="0"/>
              </w:rPr>
              <w:t>平方米以下的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责令改正；拒不改正，可以处一万元以上一点五万元以下罚款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开挖面积在</w:t>
            </w:r>
            <w:r>
              <w:rPr>
                <w:rFonts w:ascii="宋体" w:hAnsi="宋体" w:cs="宋体"/>
                <w:color w:val="auto"/>
                <w:kern w:val="0"/>
              </w:rPr>
              <w:t>50</w:t>
            </w:r>
            <w:r>
              <w:rPr>
                <w:rFonts w:hint="eastAsia" w:ascii="宋体" w:hAnsi="宋体" w:cs="宋体"/>
                <w:color w:val="auto"/>
                <w:kern w:val="0"/>
              </w:rPr>
              <w:t>至</w:t>
            </w:r>
            <w:r>
              <w:rPr>
                <w:rFonts w:ascii="宋体" w:hAnsi="宋体" w:cs="宋体"/>
                <w:color w:val="auto"/>
                <w:kern w:val="0"/>
              </w:rPr>
              <w:t>100</w:t>
            </w:r>
            <w:r>
              <w:rPr>
                <w:rFonts w:hint="eastAsia" w:ascii="宋体" w:hAnsi="宋体" w:cs="宋体"/>
                <w:color w:val="auto"/>
                <w:kern w:val="0"/>
              </w:rPr>
              <w:t>平方米的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责令改正；拒不改正，可以处一点五万元以上二万元以下罚款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开挖面积</w:t>
            </w:r>
            <w:r>
              <w:rPr>
                <w:rFonts w:ascii="宋体" w:hAnsi="宋体" w:cs="宋体"/>
                <w:color w:val="auto"/>
                <w:kern w:val="0"/>
              </w:rPr>
              <w:t>100</w:t>
            </w:r>
            <w:r>
              <w:rPr>
                <w:rFonts w:hint="eastAsia" w:ascii="宋体" w:hAnsi="宋体" w:cs="宋体"/>
                <w:color w:val="auto"/>
                <w:kern w:val="0"/>
              </w:rPr>
              <w:t>平方米以上的；二次以上违法的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责令改正；拒不改正，处二万元以上三万元以下罚款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ascii="宋体" w:hAnsi="宋体" w:cs="宋体"/>
                <w:color w:val="auto"/>
                <w:kern w:val="0"/>
              </w:rPr>
              <w:t>6</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未在划定的车位内按照标示停放车辆的</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第三十一条 在物业管理区域内停放机动车时，应当在划定的车位内按照标示停放。物业服务企业对违反规定停放机动车的，应当及时予以制止。</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第四十九条 违反本规定第三十一条规定，不听劝阻的，物业服务企业应当向城市管理行政执法部门报告，由城市管理行政执法部门责令其改正，可以处以一百元的罚款；造成严重影响物业管理区域管理秩序后果的，城市管理行政执法部门可以将该车辆拖至指定的地点并告知物业服务企业，有关费用由违法行为人承担。</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不予处罚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auto"/>
                <w:kern w:val="0"/>
              </w:rPr>
            </w:pPr>
            <w:r>
              <w:rPr>
                <w:rFonts w:hint="eastAsia" w:ascii="宋体" w:hAnsi="宋体" w:cs="宋体"/>
                <w:color w:val="auto"/>
                <w:kern w:val="0"/>
              </w:rPr>
              <w:t>初次违法并及时改正，没有造成危害后果</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w:t>
            </w:r>
          </w:p>
        </w:tc>
        <w:tc>
          <w:tcPr>
            <w:tcW w:w="2256" w:type="dxa"/>
            <w:vMerge w:val="restart"/>
            <w:tcBorders>
              <w:top w:val="nil"/>
              <w:left w:val="single" w:color="auto" w:sz="4" w:space="0"/>
              <w:bottom w:val="single" w:color="auto" w:sz="4" w:space="0"/>
              <w:right w:val="single" w:color="auto" w:sz="4" w:space="0"/>
            </w:tcBorders>
            <w:vAlign w:val="center"/>
          </w:tcPr>
          <w:p>
            <w:pPr>
              <w:widowControl/>
              <w:numPr>
                <w:ilvl w:val="0"/>
                <w:numId w:val="1"/>
              </w:numPr>
              <w:spacing w:line="320" w:lineRule="exact"/>
              <w:jc w:val="left"/>
              <w:rPr>
                <w:rFonts w:hint="eastAsia" w:ascii="宋体" w:hAnsi="宋体" w:cs="宋体"/>
                <w:color w:val="auto"/>
                <w:kern w:val="0"/>
              </w:rPr>
            </w:pPr>
            <w:r>
              <w:rPr>
                <w:rFonts w:hint="eastAsia" w:ascii="宋体" w:hAnsi="宋体" w:cs="宋体"/>
                <w:color w:val="auto"/>
                <w:kern w:val="0"/>
              </w:rPr>
              <w:t>占用消防通道的，</w:t>
            </w:r>
            <w:r>
              <w:rPr>
                <w:rFonts w:hint="eastAsia" w:ascii="宋体" w:hAnsi="宋体" w:cs="宋体"/>
                <w:color w:val="auto"/>
                <w:kern w:val="0"/>
                <w:lang w:eastAsia="zh-CN"/>
              </w:rPr>
              <w:t>告知</w:t>
            </w:r>
            <w:r>
              <w:rPr>
                <w:rFonts w:hint="eastAsia" w:ascii="宋体" w:hAnsi="宋体" w:cs="宋体"/>
                <w:color w:val="auto"/>
                <w:kern w:val="0"/>
              </w:rPr>
              <w:t>物业服务企业应按照《</w:t>
            </w:r>
            <w:r>
              <w:rPr>
                <w:rFonts w:hint="eastAsia" w:ascii="宋体" w:hAnsi="宋体" w:cs="宋体"/>
                <w:color w:val="auto"/>
                <w:kern w:val="0"/>
                <w:lang w:eastAsia="zh-CN"/>
              </w:rPr>
              <w:t>中华人民共和国</w:t>
            </w:r>
            <w:r>
              <w:rPr>
                <w:rFonts w:hint="eastAsia" w:ascii="宋体" w:hAnsi="宋体" w:cs="宋体"/>
                <w:color w:val="auto"/>
                <w:kern w:val="0"/>
              </w:rPr>
              <w:t>消防法》第</w:t>
            </w:r>
            <w:r>
              <w:rPr>
                <w:rFonts w:hint="eastAsia" w:ascii="宋体" w:hAnsi="宋体" w:cs="宋体"/>
                <w:color w:val="auto"/>
                <w:kern w:val="0"/>
                <w:lang w:eastAsia="zh-CN"/>
              </w:rPr>
              <w:t>六十</w:t>
            </w:r>
            <w:r>
              <w:rPr>
                <w:rFonts w:hint="eastAsia" w:ascii="宋体" w:hAnsi="宋体" w:cs="宋体"/>
                <w:color w:val="auto"/>
                <w:kern w:val="0"/>
              </w:rPr>
              <w:t>条，</w:t>
            </w:r>
            <w:r>
              <w:rPr>
                <w:rFonts w:hint="eastAsia" w:ascii="宋体" w:hAnsi="宋体" w:cs="宋体"/>
                <w:color w:val="auto"/>
                <w:kern w:val="0"/>
                <w:lang w:eastAsia="zh-CN"/>
              </w:rPr>
              <w:t>报告</w:t>
            </w:r>
            <w:r>
              <w:rPr>
                <w:rFonts w:hint="eastAsia" w:ascii="宋体" w:hAnsi="宋体" w:cs="宋体"/>
                <w:color w:val="auto"/>
                <w:kern w:val="0"/>
              </w:rPr>
              <w:t>消防主管部门。</w:t>
            </w:r>
          </w:p>
          <w:p>
            <w:pPr>
              <w:widowControl/>
              <w:spacing w:line="320" w:lineRule="exact"/>
              <w:jc w:val="left"/>
              <w:rPr>
                <w:rFonts w:ascii="宋体"/>
                <w:color w:val="auto"/>
                <w:kern w:val="0"/>
              </w:rPr>
            </w:pPr>
            <w:r>
              <w:rPr>
                <w:rFonts w:hint="eastAsia" w:ascii="宋体" w:hAnsi="宋体" w:cs="宋体"/>
                <w:color w:val="auto"/>
                <w:kern w:val="0"/>
                <w:lang w:val="en-US" w:eastAsia="zh-CN"/>
              </w:rPr>
              <w:t>2.</w:t>
            </w:r>
            <w:r>
              <w:rPr>
                <w:rFonts w:hint="eastAsia" w:ascii="宋体" w:hAnsi="宋体" w:cs="宋体"/>
                <w:color w:val="auto"/>
                <w:kern w:val="0"/>
              </w:rPr>
              <w:t>可以</w:t>
            </w:r>
            <w:r>
              <w:rPr>
                <w:rFonts w:hint="eastAsia" w:ascii="宋体" w:hAnsi="宋体" w:cs="宋体"/>
                <w:color w:val="auto"/>
                <w:kern w:val="0"/>
                <w:lang w:eastAsia="zh-CN"/>
              </w:rPr>
              <w:t>优先</w:t>
            </w:r>
            <w:r>
              <w:rPr>
                <w:rFonts w:hint="eastAsia" w:ascii="宋体" w:hAnsi="宋体" w:cs="宋体"/>
                <w:color w:val="auto"/>
                <w:kern w:val="0"/>
              </w:rPr>
              <w:t>将车辆拖至</w:t>
            </w:r>
            <w:r>
              <w:rPr>
                <w:rFonts w:hint="eastAsia" w:ascii="宋体" w:hAnsi="宋体" w:cs="宋体"/>
                <w:color w:val="auto"/>
                <w:kern w:val="0"/>
                <w:lang w:eastAsia="zh-CN"/>
              </w:rPr>
              <w:t>该小区公共停车位或其他不干扰机动车行驶、不影响燃气保护或消防救援的地点。</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处罚</w:t>
            </w:r>
          </w:p>
        </w:tc>
        <w:tc>
          <w:tcPr>
            <w:tcW w:w="3797" w:type="dxa"/>
            <w:tcBorders>
              <w:top w:val="nil"/>
              <w:left w:val="nil"/>
              <w:bottom w:val="single" w:color="auto" w:sz="8" w:space="0"/>
              <w:right w:val="single" w:color="auto" w:sz="8" w:space="0"/>
            </w:tcBorders>
            <w:vAlign w:val="center"/>
          </w:tcPr>
          <w:p>
            <w:pPr>
              <w:widowControl/>
              <w:spacing w:line="320" w:lineRule="exact"/>
              <w:jc w:val="left"/>
              <w:rPr>
                <w:rFonts w:ascii="宋体"/>
                <w:color w:val="auto"/>
                <w:kern w:val="0"/>
              </w:rPr>
            </w:pPr>
            <w:r>
              <w:rPr>
                <w:rFonts w:hint="eastAsia" w:ascii="宋体" w:hAnsi="宋体" w:cs="宋体"/>
                <w:color w:val="auto"/>
                <w:kern w:val="0"/>
              </w:rPr>
              <w:t>逾期未改正</w:t>
            </w:r>
          </w:p>
        </w:tc>
        <w:tc>
          <w:tcPr>
            <w:tcW w:w="1945"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责令改正，处一百元罚款。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trHeight w:val="1695" w:hRule="atLeast"/>
          <w:jc w:val="center"/>
        </w:trPr>
        <w:tc>
          <w:tcPr>
            <w:tcW w:w="69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rPr>
            </w:pPr>
            <w:r>
              <w:rPr>
                <w:rFonts w:ascii="宋体" w:hAnsi="宋体" w:cs="宋体"/>
                <w:color w:val="auto"/>
                <w:kern w:val="0"/>
              </w:rPr>
              <w:t>7</w:t>
            </w:r>
          </w:p>
        </w:tc>
        <w:tc>
          <w:tcPr>
            <w:tcW w:w="1255"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物业服务企业为业主指定搬运、装修等特约服务，或者采取其他方式限制业主自由选择搬运、装修等服务</w:t>
            </w:r>
          </w:p>
        </w:tc>
        <w:tc>
          <w:tcPr>
            <w:tcW w:w="177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第三十二条 物业管理区域内，物业服务企业不得为业主指定搬运、装修等特约服务，或者采取其他方式限制业主自由选择搬运、装修等服务。</w:t>
            </w:r>
          </w:p>
        </w:tc>
        <w:tc>
          <w:tcPr>
            <w:tcW w:w="203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lang w:eastAsia="zh-CN"/>
              </w:rPr>
              <w:t>《</w:t>
            </w:r>
            <w:r>
              <w:rPr>
                <w:rFonts w:hint="eastAsia" w:ascii="宋体" w:hAnsi="宋体" w:cs="宋体"/>
                <w:color w:val="auto"/>
                <w:kern w:val="0"/>
              </w:rPr>
              <w:t>厦门市物业管理若干规定</w:t>
            </w:r>
            <w:r>
              <w:rPr>
                <w:rFonts w:hint="eastAsia" w:ascii="宋体" w:hAnsi="宋体" w:cs="宋体"/>
                <w:color w:val="auto"/>
                <w:kern w:val="0"/>
                <w:lang w:eastAsia="zh-CN"/>
              </w:rPr>
              <w:t>》</w:t>
            </w:r>
            <w:r>
              <w:rPr>
                <w:rFonts w:hint="eastAsia" w:ascii="宋体" w:hAnsi="宋体" w:cs="宋体"/>
                <w:color w:val="auto"/>
                <w:kern w:val="0"/>
              </w:rPr>
              <w:t>第五十条 物业服务企业违反本规定第三十二条规定的，由城市管理行政执法部门责令改正，可以处以五千元以上二万元以下的罚款。</w:t>
            </w: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轻微</w:t>
            </w:r>
          </w:p>
        </w:tc>
        <w:tc>
          <w:tcPr>
            <w:tcW w:w="3797"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物业服务企业在同一物业管理区域内为业主指定搬运、装修等特约服务的</w:t>
            </w:r>
            <w:r>
              <w:rPr>
                <w:rFonts w:ascii="宋体" w:cs="宋体"/>
                <w:color w:val="auto"/>
                <w:kern w:val="0"/>
              </w:rPr>
              <w:t>,</w:t>
            </w:r>
            <w:r>
              <w:rPr>
                <w:rFonts w:hint="eastAsia" w:ascii="宋体" w:hAnsi="宋体" w:cs="宋体"/>
                <w:color w:val="auto"/>
                <w:kern w:val="0"/>
              </w:rPr>
              <w:t>或者采取其他方式限制业主自由选择搬运、装修等服务</w:t>
            </w:r>
            <w:r>
              <w:rPr>
                <w:rFonts w:ascii="宋体" w:cs="宋体"/>
                <w:color w:val="auto"/>
                <w:kern w:val="0"/>
              </w:rPr>
              <w:t>,</w:t>
            </w:r>
            <w:r>
              <w:rPr>
                <w:rFonts w:hint="eastAsia" w:ascii="宋体" w:hAnsi="宋体" w:cs="宋体"/>
                <w:color w:val="auto"/>
                <w:kern w:val="0"/>
              </w:rPr>
              <w:t>首次违法的。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w:t>
            </w:r>
            <w:r>
              <w:rPr>
                <w:rFonts w:ascii="宋体" w:cs="宋体"/>
                <w:color w:val="auto"/>
                <w:kern w:val="0"/>
              </w:rPr>
              <w:t>,</w:t>
            </w:r>
            <w:r>
              <w:rPr>
                <w:rFonts w:hint="eastAsia" w:ascii="宋体" w:hAnsi="宋体" w:cs="宋体"/>
                <w:color w:val="auto"/>
                <w:kern w:val="0"/>
              </w:rPr>
              <w:t>可以处五千元以上一万元以下罚款</w:t>
            </w:r>
          </w:p>
        </w:tc>
        <w:tc>
          <w:tcPr>
            <w:tcW w:w="225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　</w:t>
            </w: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一般</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物业服务企业在同一物业管理区域内为业主指定搬运、装修等特约服务的</w:t>
            </w:r>
            <w:r>
              <w:rPr>
                <w:rFonts w:ascii="宋体" w:cs="宋体"/>
                <w:color w:val="auto"/>
                <w:kern w:val="0"/>
              </w:rPr>
              <w:t>,</w:t>
            </w:r>
            <w:r>
              <w:rPr>
                <w:rFonts w:hint="eastAsia" w:ascii="宋体" w:hAnsi="宋体" w:cs="宋体"/>
                <w:color w:val="auto"/>
                <w:kern w:val="0"/>
              </w:rPr>
              <w:t>或者采取其他方式限制业主自由选择搬运、装修等服务</w:t>
            </w:r>
            <w:r>
              <w:rPr>
                <w:rFonts w:ascii="宋体" w:cs="宋体"/>
                <w:color w:val="auto"/>
                <w:kern w:val="0"/>
              </w:rPr>
              <w:t>,</w:t>
            </w:r>
            <w:r>
              <w:rPr>
                <w:rFonts w:hint="eastAsia" w:ascii="宋体" w:cs="宋体"/>
                <w:color w:val="auto"/>
                <w:kern w:val="0"/>
              </w:rPr>
              <w:t>两年内</w:t>
            </w:r>
            <w:r>
              <w:rPr>
                <w:rFonts w:hint="eastAsia" w:ascii="宋体" w:hAnsi="宋体" w:cs="宋体"/>
                <w:color w:val="auto"/>
                <w:kern w:val="0"/>
              </w:rPr>
              <w:t>二次违法的。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w:t>
            </w:r>
            <w:r>
              <w:rPr>
                <w:rFonts w:ascii="宋体" w:cs="宋体"/>
                <w:color w:val="auto"/>
                <w:kern w:val="0"/>
              </w:rPr>
              <w:t>,</w:t>
            </w:r>
            <w:r>
              <w:rPr>
                <w:rFonts w:hint="eastAsia" w:ascii="宋体" w:hAnsi="宋体" w:cs="宋体"/>
                <w:color w:val="auto"/>
                <w:kern w:val="0"/>
              </w:rPr>
              <w:t>处一万元以上一万五千元以下罚款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r>
        <w:tblPrEx>
          <w:tblCellMar>
            <w:top w:w="0" w:type="dxa"/>
            <w:left w:w="108" w:type="dxa"/>
            <w:bottom w:w="0" w:type="dxa"/>
            <w:right w:w="108" w:type="dxa"/>
          </w:tblCellMar>
        </w:tblPrEx>
        <w:trPr>
          <w:jc w:val="center"/>
        </w:trPr>
        <w:tc>
          <w:tcPr>
            <w:tcW w:w="6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25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177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203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c>
          <w:tcPr>
            <w:tcW w:w="98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rPr>
            </w:pPr>
            <w:r>
              <w:rPr>
                <w:rFonts w:hint="eastAsia" w:ascii="宋体" w:hAnsi="宋体" w:cs="宋体"/>
                <w:color w:val="auto"/>
                <w:kern w:val="0"/>
              </w:rPr>
              <w:t>严重</w:t>
            </w:r>
          </w:p>
        </w:tc>
        <w:tc>
          <w:tcPr>
            <w:tcW w:w="3797"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物业服务企业在同一物业管理区域内为业主指定搬运、装修等特约服务的</w:t>
            </w:r>
            <w:r>
              <w:rPr>
                <w:rFonts w:ascii="宋体" w:cs="宋体"/>
                <w:color w:val="auto"/>
                <w:kern w:val="0"/>
              </w:rPr>
              <w:t>,</w:t>
            </w:r>
            <w:r>
              <w:rPr>
                <w:rFonts w:hint="eastAsia" w:ascii="宋体" w:hAnsi="宋体" w:cs="宋体"/>
                <w:color w:val="auto"/>
                <w:kern w:val="0"/>
              </w:rPr>
              <w:t>或者采取其他方式限制业主自由选择搬运、装修等服务</w:t>
            </w:r>
            <w:r>
              <w:rPr>
                <w:rFonts w:ascii="宋体" w:cs="宋体"/>
                <w:color w:val="auto"/>
                <w:kern w:val="0"/>
              </w:rPr>
              <w:t>,</w:t>
            </w:r>
            <w:r>
              <w:rPr>
                <w:rFonts w:hint="eastAsia" w:ascii="宋体" w:cs="宋体"/>
                <w:color w:val="auto"/>
                <w:kern w:val="0"/>
              </w:rPr>
              <w:t>造成严重危害后果的；两年内</w:t>
            </w:r>
            <w:r>
              <w:rPr>
                <w:rFonts w:hint="eastAsia" w:ascii="宋体" w:hAnsi="宋体" w:cs="宋体"/>
                <w:color w:val="auto"/>
                <w:kern w:val="0"/>
              </w:rPr>
              <w:t>三次以上违法的。</w:t>
            </w:r>
          </w:p>
        </w:tc>
        <w:tc>
          <w:tcPr>
            <w:tcW w:w="194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rPr>
            </w:pPr>
            <w:r>
              <w:rPr>
                <w:rFonts w:hint="eastAsia" w:ascii="宋体" w:hAnsi="宋体" w:cs="宋体"/>
                <w:color w:val="auto"/>
                <w:kern w:val="0"/>
              </w:rPr>
              <w:t>责令改正</w:t>
            </w:r>
            <w:r>
              <w:rPr>
                <w:rFonts w:ascii="宋体" w:cs="宋体"/>
                <w:color w:val="auto"/>
                <w:kern w:val="0"/>
              </w:rPr>
              <w:t>,</w:t>
            </w:r>
            <w:r>
              <w:rPr>
                <w:rFonts w:hint="eastAsia" w:ascii="宋体" w:hAnsi="宋体" w:cs="宋体"/>
                <w:color w:val="auto"/>
                <w:kern w:val="0"/>
              </w:rPr>
              <w:t>处一万五千元以上两万元以下罚款</w:t>
            </w:r>
          </w:p>
        </w:tc>
        <w:tc>
          <w:tcPr>
            <w:tcW w:w="225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rPr>
            </w:pPr>
          </w:p>
        </w:tc>
      </w:tr>
    </w:tbl>
    <w:p>
      <w:pPr>
        <w:spacing w:line="320" w:lineRule="exact"/>
        <w:rPr>
          <w:rFonts w:ascii="宋体"/>
          <w:color w:val="auto"/>
        </w:rPr>
      </w:pPr>
    </w:p>
    <w:p>
      <w:pPr>
        <w:rPr>
          <w:color w:val="auto"/>
        </w:rPr>
      </w:pPr>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7</w:t>
    </w:r>
    <w:r>
      <w:rPr>
        <w:rStyle w:val="12"/>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FB1F14"/>
    <w:multiLevelType w:val="singleLevel"/>
    <w:tmpl w:val="37FB1F1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12DEA"/>
    <w:rsid w:val="000304CA"/>
    <w:rsid w:val="00032369"/>
    <w:rsid w:val="00042D37"/>
    <w:rsid w:val="00047C1B"/>
    <w:rsid w:val="00076B37"/>
    <w:rsid w:val="000847B1"/>
    <w:rsid w:val="00090816"/>
    <w:rsid w:val="00096A08"/>
    <w:rsid w:val="000A2CCE"/>
    <w:rsid w:val="000A3735"/>
    <w:rsid w:val="000C78DA"/>
    <w:rsid w:val="000E258B"/>
    <w:rsid w:val="000F11F8"/>
    <w:rsid w:val="0010264E"/>
    <w:rsid w:val="00102FAD"/>
    <w:rsid w:val="00130757"/>
    <w:rsid w:val="00134C08"/>
    <w:rsid w:val="0017510C"/>
    <w:rsid w:val="00177968"/>
    <w:rsid w:val="00192CDD"/>
    <w:rsid w:val="001A00DB"/>
    <w:rsid w:val="001A4FB3"/>
    <w:rsid w:val="001C1CA2"/>
    <w:rsid w:val="001C5923"/>
    <w:rsid w:val="001D16DE"/>
    <w:rsid w:val="001D6D36"/>
    <w:rsid w:val="001E45D9"/>
    <w:rsid w:val="001F7C31"/>
    <w:rsid w:val="00200C53"/>
    <w:rsid w:val="0020220A"/>
    <w:rsid w:val="002125AA"/>
    <w:rsid w:val="002265EE"/>
    <w:rsid w:val="00261ABC"/>
    <w:rsid w:val="00264206"/>
    <w:rsid w:val="0027784B"/>
    <w:rsid w:val="002D1784"/>
    <w:rsid w:val="002D3CFE"/>
    <w:rsid w:val="002D58DF"/>
    <w:rsid w:val="002E0DDC"/>
    <w:rsid w:val="002F22FF"/>
    <w:rsid w:val="002F52BC"/>
    <w:rsid w:val="0031182D"/>
    <w:rsid w:val="00312081"/>
    <w:rsid w:val="00335AD4"/>
    <w:rsid w:val="003450C8"/>
    <w:rsid w:val="0037291D"/>
    <w:rsid w:val="003930E4"/>
    <w:rsid w:val="003972AF"/>
    <w:rsid w:val="003A1CD1"/>
    <w:rsid w:val="003B0ED0"/>
    <w:rsid w:val="003B1405"/>
    <w:rsid w:val="003B2408"/>
    <w:rsid w:val="003B378F"/>
    <w:rsid w:val="003D73DE"/>
    <w:rsid w:val="003E2268"/>
    <w:rsid w:val="003F283F"/>
    <w:rsid w:val="003F4A4A"/>
    <w:rsid w:val="003F57B5"/>
    <w:rsid w:val="00402F02"/>
    <w:rsid w:val="004135D6"/>
    <w:rsid w:val="00422A2C"/>
    <w:rsid w:val="0042319B"/>
    <w:rsid w:val="0044398A"/>
    <w:rsid w:val="004620AC"/>
    <w:rsid w:val="00462C00"/>
    <w:rsid w:val="00466F32"/>
    <w:rsid w:val="00473D26"/>
    <w:rsid w:val="004A4C89"/>
    <w:rsid w:val="004B311B"/>
    <w:rsid w:val="004E6360"/>
    <w:rsid w:val="004F26CF"/>
    <w:rsid w:val="004F53A5"/>
    <w:rsid w:val="00525060"/>
    <w:rsid w:val="005254D6"/>
    <w:rsid w:val="00536077"/>
    <w:rsid w:val="00545733"/>
    <w:rsid w:val="005464F0"/>
    <w:rsid w:val="0055435D"/>
    <w:rsid w:val="00556C12"/>
    <w:rsid w:val="005602A3"/>
    <w:rsid w:val="00564B91"/>
    <w:rsid w:val="00573155"/>
    <w:rsid w:val="0058096A"/>
    <w:rsid w:val="00582261"/>
    <w:rsid w:val="00592B15"/>
    <w:rsid w:val="0059797C"/>
    <w:rsid w:val="005A5300"/>
    <w:rsid w:val="005A7572"/>
    <w:rsid w:val="005B454A"/>
    <w:rsid w:val="005D1DFB"/>
    <w:rsid w:val="005D4F1E"/>
    <w:rsid w:val="005D6B82"/>
    <w:rsid w:val="005E49B7"/>
    <w:rsid w:val="006149A3"/>
    <w:rsid w:val="006207A4"/>
    <w:rsid w:val="006209EF"/>
    <w:rsid w:val="0062790C"/>
    <w:rsid w:val="00633344"/>
    <w:rsid w:val="00643FC5"/>
    <w:rsid w:val="00663131"/>
    <w:rsid w:val="00663188"/>
    <w:rsid w:val="0067787C"/>
    <w:rsid w:val="006913CF"/>
    <w:rsid w:val="00692A5C"/>
    <w:rsid w:val="00697966"/>
    <w:rsid w:val="006A7621"/>
    <w:rsid w:val="006B1053"/>
    <w:rsid w:val="006B200A"/>
    <w:rsid w:val="006B420D"/>
    <w:rsid w:val="006B77B6"/>
    <w:rsid w:val="006C002C"/>
    <w:rsid w:val="006C2578"/>
    <w:rsid w:val="006D60D8"/>
    <w:rsid w:val="00715E5E"/>
    <w:rsid w:val="00726D62"/>
    <w:rsid w:val="0075457E"/>
    <w:rsid w:val="00755BE1"/>
    <w:rsid w:val="00762B98"/>
    <w:rsid w:val="0077462C"/>
    <w:rsid w:val="0077648D"/>
    <w:rsid w:val="007818F0"/>
    <w:rsid w:val="00793851"/>
    <w:rsid w:val="00794D4A"/>
    <w:rsid w:val="007A6CE2"/>
    <w:rsid w:val="007B2236"/>
    <w:rsid w:val="007B50B6"/>
    <w:rsid w:val="007B668E"/>
    <w:rsid w:val="007C7FA8"/>
    <w:rsid w:val="007F5C8B"/>
    <w:rsid w:val="00813E26"/>
    <w:rsid w:val="00817E3D"/>
    <w:rsid w:val="00851CE0"/>
    <w:rsid w:val="008565AB"/>
    <w:rsid w:val="00875001"/>
    <w:rsid w:val="00882004"/>
    <w:rsid w:val="00897910"/>
    <w:rsid w:val="008D04D2"/>
    <w:rsid w:val="008D0ACE"/>
    <w:rsid w:val="008D15BB"/>
    <w:rsid w:val="008E5506"/>
    <w:rsid w:val="008E7D19"/>
    <w:rsid w:val="008F6CE9"/>
    <w:rsid w:val="0090648D"/>
    <w:rsid w:val="0090799E"/>
    <w:rsid w:val="00913F19"/>
    <w:rsid w:val="00915F1C"/>
    <w:rsid w:val="009166E0"/>
    <w:rsid w:val="00917238"/>
    <w:rsid w:val="00926D67"/>
    <w:rsid w:val="0094599A"/>
    <w:rsid w:val="00951011"/>
    <w:rsid w:val="00953DED"/>
    <w:rsid w:val="00962172"/>
    <w:rsid w:val="00962CF7"/>
    <w:rsid w:val="009711AC"/>
    <w:rsid w:val="009A131A"/>
    <w:rsid w:val="009C1F8E"/>
    <w:rsid w:val="009C3085"/>
    <w:rsid w:val="009C5666"/>
    <w:rsid w:val="009E061C"/>
    <w:rsid w:val="009E1C6B"/>
    <w:rsid w:val="009E4164"/>
    <w:rsid w:val="009E5078"/>
    <w:rsid w:val="009F1908"/>
    <w:rsid w:val="009F24D9"/>
    <w:rsid w:val="00A23E27"/>
    <w:rsid w:val="00A420F9"/>
    <w:rsid w:val="00A46250"/>
    <w:rsid w:val="00A60550"/>
    <w:rsid w:val="00A63E9E"/>
    <w:rsid w:val="00A64E9B"/>
    <w:rsid w:val="00A770C5"/>
    <w:rsid w:val="00A97636"/>
    <w:rsid w:val="00AB2B3C"/>
    <w:rsid w:val="00AB49F5"/>
    <w:rsid w:val="00AC50A2"/>
    <w:rsid w:val="00AE0FD1"/>
    <w:rsid w:val="00AE7D0B"/>
    <w:rsid w:val="00AF088D"/>
    <w:rsid w:val="00B1108E"/>
    <w:rsid w:val="00B13F45"/>
    <w:rsid w:val="00B54FFA"/>
    <w:rsid w:val="00B671E7"/>
    <w:rsid w:val="00B7376B"/>
    <w:rsid w:val="00B81680"/>
    <w:rsid w:val="00BA3700"/>
    <w:rsid w:val="00BB209D"/>
    <w:rsid w:val="00BB2A34"/>
    <w:rsid w:val="00BB74C0"/>
    <w:rsid w:val="00BC13D1"/>
    <w:rsid w:val="00BC5835"/>
    <w:rsid w:val="00BD02C5"/>
    <w:rsid w:val="00BD0749"/>
    <w:rsid w:val="00BF0EB6"/>
    <w:rsid w:val="00BF14A4"/>
    <w:rsid w:val="00C24CE7"/>
    <w:rsid w:val="00C278A2"/>
    <w:rsid w:val="00C30327"/>
    <w:rsid w:val="00C34B68"/>
    <w:rsid w:val="00C505FE"/>
    <w:rsid w:val="00C70AE3"/>
    <w:rsid w:val="00C8079B"/>
    <w:rsid w:val="00C96E19"/>
    <w:rsid w:val="00CC406B"/>
    <w:rsid w:val="00CD017B"/>
    <w:rsid w:val="00CD4CEF"/>
    <w:rsid w:val="00CE2E17"/>
    <w:rsid w:val="00D0088D"/>
    <w:rsid w:val="00D1355F"/>
    <w:rsid w:val="00D2257A"/>
    <w:rsid w:val="00D4287E"/>
    <w:rsid w:val="00D5526C"/>
    <w:rsid w:val="00D5553A"/>
    <w:rsid w:val="00D831F4"/>
    <w:rsid w:val="00D92F99"/>
    <w:rsid w:val="00DA6567"/>
    <w:rsid w:val="00DD38C0"/>
    <w:rsid w:val="00DE3107"/>
    <w:rsid w:val="00DE385B"/>
    <w:rsid w:val="00DF04AA"/>
    <w:rsid w:val="00E03C22"/>
    <w:rsid w:val="00E06103"/>
    <w:rsid w:val="00E06645"/>
    <w:rsid w:val="00E13D4C"/>
    <w:rsid w:val="00E238EB"/>
    <w:rsid w:val="00E4375A"/>
    <w:rsid w:val="00E62B7D"/>
    <w:rsid w:val="00E73E97"/>
    <w:rsid w:val="00E740D2"/>
    <w:rsid w:val="00E77D57"/>
    <w:rsid w:val="00E85C30"/>
    <w:rsid w:val="00EB548F"/>
    <w:rsid w:val="00EC1238"/>
    <w:rsid w:val="00ED716A"/>
    <w:rsid w:val="00EF2405"/>
    <w:rsid w:val="00F0794C"/>
    <w:rsid w:val="00F10D4A"/>
    <w:rsid w:val="00F1198C"/>
    <w:rsid w:val="00F158D7"/>
    <w:rsid w:val="00F2060A"/>
    <w:rsid w:val="00F414FB"/>
    <w:rsid w:val="00F761AA"/>
    <w:rsid w:val="00F8123A"/>
    <w:rsid w:val="00F8368E"/>
    <w:rsid w:val="00F87A79"/>
    <w:rsid w:val="00F93210"/>
    <w:rsid w:val="00FB4389"/>
    <w:rsid w:val="00FE11C8"/>
    <w:rsid w:val="00FE3A89"/>
    <w:rsid w:val="00FF6AA8"/>
    <w:rsid w:val="1F5F6CE4"/>
    <w:rsid w:val="2F1F129F"/>
    <w:rsid w:val="3EAF58BB"/>
    <w:rsid w:val="3FA9214A"/>
    <w:rsid w:val="4F5799F3"/>
    <w:rsid w:val="529B8079"/>
    <w:rsid w:val="53F3CFE1"/>
    <w:rsid w:val="553F7CE2"/>
    <w:rsid w:val="5C7F3523"/>
    <w:rsid w:val="5DDD545F"/>
    <w:rsid w:val="5DF3D72F"/>
    <w:rsid w:val="67AE6CA4"/>
    <w:rsid w:val="6FE98D56"/>
    <w:rsid w:val="74FE90D4"/>
    <w:rsid w:val="7973C56F"/>
    <w:rsid w:val="7DD76AA6"/>
    <w:rsid w:val="7E759A90"/>
    <w:rsid w:val="7EFE5EA7"/>
    <w:rsid w:val="7FBED3B7"/>
    <w:rsid w:val="A3F1B8AA"/>
    <w:rsid w:val="A7677A9F"/>
    <w:rsid w:val="AAF7C6FC"/>
    <w:rsid w:val="B5FFC195"/>
    <w:rsid w:val="BBFFC9C7"/>
    <w:rsid w:val="BF3FBF2B"/>
    <w:rsid w:val="BFFF16A8"/>
    <w:rsid w:val="D6E2FFC3"/>
    <w:rsid w:val="DBFD6476"/>
    <w:rsid w:val="DE3E09C4"/>
    <w:rsid w:val="DED8378C"/>
    <w:rsid w:val="DFFB1556"/>
    <w:rsid w:val="DFFF3B94"/>
    <w:rsid w:val="E7FE05DA"/>
    <w:rsid w:val="EF8F7CF9"/>
    <w:rsid w:val="EFBB13E6"/>
    <w:rsid w:val="F5E3A44A"/>
    <w:rsid w:val="FACF8623"/>
    <w:rsid w:val="FEFF11B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b/>
      <w:bCs/>
      <w:kern w:val="44"/>
      <w:sz w:val="44"/>
      <w:szCs w:val="4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3417</Words>
  <Characters>298</Characters>
  <Lines>2</Lines>
  <Paragraphs>7</Paragraphs>
  <TotalTime>0</TotalTime>
  <ScaleCrop>false</ScaleCrop>
  <LinksUpToDate>false</LinksUpToDate>
  <CharactersWithSpaces>3708</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2022-06-25T23:24:00Z</dcterms:created>
  <dc:creator>user</dc:creator>
  <cp:lastModifiedBy>xmadmin</cp:lastModifiedBy>
  <cp:lastPrinted>2022-03-14T09:24:00Z</cp:lastPrinted>
  <dcterms:modified xsi:type="dcterms:W3CDTF">2025-02-18T11:20:14Z</dcterms:modified>
  <dc:title>厦门市城市管理行政执法部门</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