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600" w:lineRule="exact"/>
        <w:jc w:val="center"/>
        <w:rPr>
          <w:rFonts w:asciiTheme="minorEastAsia" w:hAnsiTheme="minorEastAsia" w:eastAsiaTheme="minorEastAsia"/>
          <w:b/>
          <w:color w:val="000000"/>
          <w:sz w:val="32"/>
          <w:szCs w:val="32"/>
          <w:highlight w:val="none"/>
        </w:rPr>
      </w:pPr>
      <w:r>
        <w:rPr>
          <w:rFonts w:hint="eastAsia" w:cs="方正小标宋简体" w:asciiTheme="minorEastAsia" w:hAnsiTheme="minorEastAsia" w:eastAsiaTheme="minorEastAsia"/>
          <w:b/>
          <w:color w:val="000000"/>
          <w:sz w:val="32"/>
          <w:szCs w:val="32"/>
          <w:highlight w:val="none"/>
          <w:lang w:val="en-US" w:eastAsia="zh-CN"/>
        </w:rPr>
        <w:t xml:space="preserve"> </w:t>
      </w:r>
      <w:r>
        <w:rPr>
          <w:rFonts w:hint="eastAsia" w:cs="方正小标宋简体" w:asciiTheme="minorEastAsia" w:hAnsiTheme="minorEastAsia" w:eastAsiaTheme="minorEastAsia"/>
          <w:b/>
          <w:color w:val="000000"/>
          <w:sz w:val="32"/>
          <w:szCs w:val="32"/>
          <w:highlight w:val="none"/>
        </w:rPr>
        <w:t>《中华人民共和国城乡规划法》（</w:t>
      </w:r>
      <w:r>
        <w:rPr>
          <w:rFonts w:cs="方正小标宋简体" w:asciiTheme="minorEastAsia" w:hAnsiTheme="minorEastAsia" w:eastAsiaTheme="minorEastAsia"/>
          <w:b/>
          <w:color w:val="000000"/>
          <w:sz w:val="32"/>
          <w:szCs w:val="32"/>
          <w:highlight w:val="none"/>
        </w:rPr>
        <w:t>2008</w:t>
      </w:r>
      <w:r>
        <w:rPr>
          <w:rFonts w:hint="eastAsia" w:cs="方正小标宋简体" w:asciiTheme="minorEastAsia" w:hAnsiTheme="minorEastAsia" w:eastAsiaTheme="minorEastAsia"/>
          <w:b/>
          <w:color w:val="000000"/>
          <w:sz w:val="32"/>
          <w:szCs w:val="32"/>
          <w:highlight w:val="none"/>
        </w:rPr>
        <w:t>年</w:t>
      </w:r>
      <w:r>
        <w:rPr>
          <w:rFonts w:cs="方正小标宋简体" w:asciiTheme="minorEastAsia" w:hAnsiTheme="minorEastAsia" w:eastAsiaTheme="minorEastAsia"/>
          <w:b/>
          <w:color w:val="000000"/>
          <w:sz w:val="32"/>
          <w:szCs w:val="32"/>
          <w:highlight w:val="none"/>
        </w:rPr>
        <w:t>1</w:t>
      </w:r>
      <w:r>
        <w:rPr>
          <w:rFonts w:hint="eastAsia" w:cs="方正小标宋简体" w:asciiTheme="minorEastAsia" w:hAnsiTheme="minorEastAsia" w:eastAsiaTheme="minorEastAsia"/>
          <w:b/>
          <w:color w:val="000000"/>
          <w:sz w:val="32"/>
          <w:szCs w:val="32"/>
          <w:highlight w:val="none"/>
        </w:rPr>
        <w:t>月</w:t>
      </w:r>
      <w:r>
        <w:rPr>
          <w:rFonts w:cs="方正小标宋简体" w:asciiTheme="minorEastAsia" w:hAnsiTheme="minorEastAsia" w:eastAsiaTheme="minorEastAsia"/>
          <w:b/>
          <w:color w:val="000000"/>
          <w:sz w:val="32"/>
          <w:szCs w:val="32"/>
          <w:highlight w:val="none"/>
        </w:rPr>
        <w:t>1</w:t>
      </w:r>
      <w:r>
        <w:rPr>
          <w:rFonts w:hint="eastAsia" w:cs="方正小标宋简体" w:asciiTheme="minorEastAsia" w:hAnsiTheme="minorEastAsia" w:eastAsiaTheme="minorEastAsia"/>
          <w:b/>
          <w:color w:val="000000"/>
          <w:sz w:val="32"/>
          <w:szCs w:val="32"/>
          <w:highlight w:val="none"/>
        </w:rPr>
        <w:t>日起施行，</w:t>
      </w:r>
      <w:r>
        <w:rPr>
          <w:rFonts w:cs="方正小标宋简体" w:asciiTheme="minorEastAsia" w:hAnsiTheme="minorEastAsia" w:eastAsiaTheme="minorEastAsia"/>
          <w:b/>
          <w:color w:val="000000"/>
          <w:sz w:val="32"/>
          <w:szCs w:val="32"/>
          <w:highlight w:val="none"/>
        </w:rPr>
        <w:t>202</w:t>
      </w:r>
      <w:r>
        <w:rPr>
          <w:rFonts w:hint="eastAsia" w:cs="方正小标宋简体" w:asciiTheme="minorEastAsia" w:hAnsiTheme="minorEastAsia" w:eastAsiaTheme="minorEastAsia"/>
          <w:b/>
          <w:color w:val="000000"/>
          <w:sz w:val="32"/>
          <w:szCs w:val="32"/>
          <w:highlight w:val="none"/>
          <w:lang w:val="en-US" w:eastAsia="zh-CN"/>
        </w:rPr>
        <w:t>4</w:t>
      </w:r>
      <w:r>
        <w:rPr>
          <w:rFonts w:cs="方正小标宋简体" w:asciiTheme="minorEastAsia" w:hAnsiTheme="minorEastAsia" w:eastAsiaTheme="minorEastAsia"/>
          <w:b/>
          <w:color w:val="000000"/>
          <w:sz w:val="32"/>
          <w:szCs w:val="32"/>
          <w:highlight w:val="none"/>
        </w:rPr>
        <w:t>年</w:t>
      </w:r>
      <w:r>
        <w:rPr>
          <w:rFonts w:hint="eastAsia" w:cs="方正小标宋简体" w:asciiTheme="minorEastAsia" w:hAnsiTheme="minorEastAsia" w:eastAsiaTheme="minorEastAsia"/>
          <w:b/>
          <w:color w:val="000000"/>
          <w:sz w:val="32"/>
          <w:szCs w:val="32"/>
          <w:highlight w:val="none"/>
        </w:rPr>
        <w:t>修改裁量权基准）</w:t>
      </w:r>
    </w:p>
    <w:tbl>
      <w:tblPr>
        <w:tblStyle w:val="11"/>
        <w:tblW w:w="147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6"/>
        <w:gridCol w:w="974"/>
        <w:gridCol w:w="4387"/>
        <w:gridCol w:w="3392"/>
        <w:gridCol w:w="1131"/>
        <w:gridCol w:w="1445"/>
        <w:gridCol w:w="1843"/>
        <w:gridCol w:w="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6"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序号</w:t>
            </w:r>
          </w:p>
        </w:tc>
        <w:tc>
          <w:tcPr>
            <w:tcW w:w="974"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违法行为</w:t>
            </w:r>
          </w:p>
        </w:tc>
        <w:tc>
          <w:tcPr>
            <w:tcW w:w="4387"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定案依据</w:t>
            </w:r>
          </w:p>
        </w:tc>
        <w:tc>
          <w:tcPr>
            <w:tcW w:w="3392"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处罚依据</w:t>
            </w:r>
          </w:p>
        </w:tc>
        <w:tc>
          <w:tcPr>
            <w:tcW w:w="2576" w:type="dxa"/>
            <w:gridSpan w:val="2"/>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违法情节</w:t>
            </w:r>
          </w:p>
        </w:tc>
        <w:tc>
          <w:tcPr>
            <w:tcW w:w="1843"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处罚标准</w:t>
            </w:r>
          </w:p>
        </w:tc>
        <w:tc>
          <w:tcPr>
            <w:tcW w:w="984" w:type="dxa"/>
            <w:vMerge w:val="restart"/>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blHeader/>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b/>
                <w:bCs/>
                <w:color w:val="auto"/>
                <w:kern w:val="0"/>
                <w:highlight w:val="none"/>
                <w:u w:val="none"/>
              </w:rPr>
            </w:pPr>
            <w:r>
              <w:rPr>
                <w:rFonts w:hint="eastAsia" w:ascii="宋体" w:hAnsi="宋体" w:cs="宋体"/>
                <w:b/>
                <w:bCs/>
                <w:color w:val="auto"/>
                <w:kern w:val="0"/>
                <w:highlight w:val="none"/>
                <w:u w:val="none"/>
              </w:rPr>
              <w:t>情节</w:t>
            </w:r>
            <w:r>
              <w:rPr>
                <w:rFonts w:ascii="宋体"/>
                <w:b/>
                <w:bCs/>
                <w:color w:val="auto"/>
                <w:kern w:val="0"/>
                <w:highlight w:val="none"/>
                <w:u w:val="none"/>
              </w:rPr>
              <w:br w:type="textWrapping"/>
            </w:r>
            <w:r>
              <w:rPr>
                <w:rFonts w:hint="eastAsia" w:ascii="宋体" w:hAnsi="宋体" w:cs="宋体"/>
                <w:b/>
                <w:bCs/>
                <w:color w:val="auto"/>
                <w:kern w:val="0"/>
                <w:highlight w:val="none"/>
                <w:u w:val="none"/>
              </w:rPr>
              <w:t>分类</w:t>
            </w:r>
          </w:p>
        </w:tc>
        <w:tc>
          <w:tcPr>
            <w:tcW w:w="1445" w:type="dxa"/>
            <w:vAlign w:val="center"/>
          </w:tcPr>
          <w:p>
            <w:pPr>
              <w:widowControl/>
              <w:spacing w:line="320" w:lineRule="exact"/>
              <w:jc w:val="left"/>
              <w:rPr>
                <w:rFonts w:ascii="宋体"/>
                <w:b/>
                <w:bCs/>
                <w:color w:val="auto"/>
                <w:kern w:val="0"/>
                <w:highlight w:val="none"/>
                <w:u w:val="none"/>
              </w:rPr>
            </w:pPr>
            <w:r>
              <w:rPr>
                <w:rFonts w:hint="eastAsia" w:ascii="宋体" w:hAnsi="宋体" w:cs="宋体"/>
                <w:b/>
                <w:bCs/>
                <w:color w:val="auto"/>
                <w:kern w:val="0"/>
                <w:highlight w:val="none"/>
                <w:u w:val="none"/>
              </w:rPr>
              <w:t>违法情节的详细的描述</w:t>
            </w:r>
          </w:p>
        </w:tc>
        <w:tc>
          <w:tcPr>
            <w:tcW w:w="1843" w:type="dxa"/>
            <w:vMerge w:val="continue"/>
            <w:vAlign w:val="center"/>
          </w:tcPr>
          <w:p>
            <w:pPr>
              <w:widowControl/>
              <w:spacing w:line="320" w:lineRule="exact"/>
              <w:jc w:val="left"/>
              <w:rPr>
                <w:rFonts w:ascii="宋体"/>
                <w:b/>
                <w:bCs/>
                <w:color w:val="auto"/>
                <w:kern w:val="0"/>
                <w:highlight w:val="none"/>
                <w:u w:val="none"/>
              </w:rPr>
            </w:pPr>
          </w:p>
        </w:tc>
        <w:tc>
          <w:tcPr>
            <w:tcW w:w="984" w:type="dxa"/>
            <w:vMerge w:val="continue"/>
            <w:vAlign w:val="center"/>
          </w:tcPr>
          <w:p>
            <w:pPr>
              <w:widowControl/>
              <w:spacing w:line="320" w:lineRule="exact"/>
              <w:jc w:val="left"/>
              <w:rPr>
                <w:rFonts w:ascii="宋体"/>
                <w:b/>
                <w:bCs/>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1</w:t>
            </w:r>
          </w:p>
        </w:tc>
        <w:tc>
          <w:tcPr>
            <w:tcW w:w="974"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超资质承揽规划编制</w:t>
            </w:r>
            <w:r>
              <w:rPr>
                <w:rFonts w:hint="eastAsia" w:ascii="宋体" w:hAnsi="宋体" w:cs="宋体"/>
                <w:color w:val="auto"/>
                <w:kern w:val="0"/>
                <w:highlight w:val="none"/>
                <w:u w:val="none"/>
                <w:lang w:eastAsia="zh-CN"/>
              </w:rPr>
              <w:t>的</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《中华人民共和国城乡规划法》第二十四条第一款 城乡规划组织编制机关应当委托具有相应资质等级的单位承担城乡规划的具体编制工作。</w:t>
            </w:r>
          </w:p>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第二款 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（一）有法人资格；</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（二）有规定数量的经国务院城乡规划主管部门注册的规划师；</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（三）有规定数量的相关专业技术人员；</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（四）有相应的技术装备；</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（五）有健全的技术、质量、财务管理制度。</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《中华人民共和国城乡规划法》第六十二条第一项 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（一）超越资质等级许可的范围承揽城乡规划编制工作的；</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超越资质一级承揽城乡规划编制工作的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处以合同约定的规划编制费</w:t>
            </w:r>
            <w:r>
              <w:rPr>
                <w:rFonts w:hint="eastAsia" w:ascii="宋体" w:hAnsi="宋体" w:cs="宋体"/>
                <w:color w:val="auto"/>
                <w:kern w:val="0"/>
                <w:highlight w:val="none"/>
                <w:u w:val="none"/>
                <w:lang w:eastAsia="zh-CN"/>
              </w:rPr>
              <w:t>一</w:t>
            </w:r>
            <w:r>
              <w:rPr>
                <w:rFonts w:hint="eastAsia" w:ascii="宋体" w:hAnsi="宋体" w:cs="宋体"/>
                <w:color w:val="auto"/>
                <w:kern w:val="0"/>
                <w:highlight w:val="none"/>
                <w:u w:val="none"/>
              </w:rPr>
              <w:t>倍</w:t>
            </w:r>
            <w:r>
              <w:rPr>
                <w:rFonts w:hint="eastAsia" w:ascii="宋体" w:hAnsi="宋体" w:cs="宋体"/>
                <w:color w:val="auto"/>
                <w:kern w:val="0"/>
                <w:highlight w:val="none"/>
                <w:u w:val="none"/>
                <w:lang w:eastAsia="zh-CN"/>
              </w:rPr>
              <w:t>以上</w:t>
            </w:r>
            <w:r>
              <w:rPr>
                <w:rFonts w:hint="eastAsia" w:ascii="宋体" w:hAnsi="宋体" w:cs="宋体"/>
                <w:color w:val="auto"/>
                <w:kern w:val="0"/>
                <w:highlight w:val="none"/>
                <w:u w:val="none"/>
                <w:lang w:val="en-US" w:eastAsia="zh-CN"/>
              </w:rPr>
              <w:t>一点五倍以下</w:t>
            </w:r>
            <w:r>
              <w:rPr>
                <w:rFonts w:hint="eastAsia" w:ascii="宋体" w:hAnsi="宋体" w:cs="宋体"/>
                <w:color w:val="auto"/>
                <w:kern w:val="0"/>
                <w:highlight w:val="none"/>
                <w:u w:val="none"/>
              </w:rPr>
              <w:t>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2"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超越资质二级承揽城乡规划编制工作的；</w:t>
            </w:r>
          </w:p>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拒不改正或</w:t>
            </w:r>
            <w:r>
              <w:rPr>
                <w:rFonts w:hint="eastAsia" w:ascii="宋体" w:hAnsi="宋体" w:cs="宋体"/>
                <w:color w:val="auto"/>
                <w:kern w:val="0"/>
                <w:highlight w:val="none"/>
                <w:u w:val="none"/>
                <w:lang w:val="en-US" w:eastAsia="zh-CN"/>
              </w:rPr>
              <w:t>2</w:t>
            </w:r>
            <w:r>
              <w:rPr>
                <w:rFonts w:hint="eastAsia" w:ascii="宋体" w:hAnsi="宋体" w:cs="宋体"/>
                <w:color w:val="auto"/>
                <w:kern w:val="0"/>
                <w:highlight w:val="none"/>
                <w:u w:val="none"/>
              </w:rPr>
              <w:t>次以上违法的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处以合同约定的规划编制费</w:t>
            </w:r>
            <w:r>
              <w:rPr>
                <w:rFonts w:hint="eastAsia" w:ascii="宋体" w:hAnsi="宋体" w:cs="宋体"/>
                <w:color w:val="auto"/>
                <w:kern w:val="0"/>
                <w:highlight w:val="none"/>
                <w:u w:val="none"/>
                <w:lang w:val="en-US" w:eastAsia="zh-CN"/>
              </w:rPr>
              <w:t>一点五倍以上二</w:t>
            </w:r>
            <w:r>
              <w:rPr>
                <w:rFonts w:hint="eastAsia" w:ascii="宋体" w:hAnsi="宋体" w:cs="宋体"/>
                <w:color w:val="auto"/>
                <w:kern w:val="0"/>
                <w:highlight w:val="none"/>
                <w:u w:val="none"/>
              </w:rPr>
              <w:t>倍</w:t>
            </w:r>
            <w:r>
              <w:rPr>
                <w:rFonts w:hint="eastAsia" w:ascii="宋体" w:hAnsi="宋体" w:cs="宋体"/>
                <w:color w:val="auto"/>
                <w:kern w:val="0"/>
                <w:highlight w:val="none"/>
                <w:u w:val="none"/>
                <w:lang w:eastAsia="zh-CN"/>
              </w:rPr>
              <w:t>以下</w:t>
            </w:r>
            <w:r>
              <w:rPr>
                <w:rFonts w:hint="eastAsia" w:ascii="宋体" w:hAnsi="宋体" w:cs="宋体"/>
                <w:color w:val="auto"/>
                <w:kern w:val="0"/>
                <w:highlight w:val="none"/>
                <w:u w:val="none"/>
              </w:rPr>
              <w:t>的罚款，责令停业整顿，由原发证机关降低资质等级或吊销资质证书；造成损失的，依法承担赔偿责任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2</w:t>
            </w:r>
          </w:p>
        </w:tc>
        <w:tc>
          <w:tcPr>
            <w:tcW w:w="974"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违反国家标准编制规划</w:t>
            </w:r>
            <w:r>
              <w:rPr>
                <w:rFonts w:hint="eastAsia" w:ascii="宋体" w:hAnsi="宋体" w:cs="宋体"/>
                <w:color w:val="auto"/>
                <w:kern w:val="0"/>
                <w:highlight w:val="none"/>
                <w:u w:val="none"/>
                <w:lang w:eastAsia="zh-CN"/>
              </w:rPr>
              <w:t>的</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《中华人民共和国城乡规划法》第二十四条第三款 编制城乡规划必须遵守国家有关标准。</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《中华人民共和国城乡规划法》第六十二条第二项  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（二）违反国家有关标准编制城乡规划的。</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违反国家有关标准编制城乡规划，规划尚未实施的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处以合同约定的规划编制费一倍以上一点五倍以下的罚款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3"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违反国家有关标准编制城乡规划并实施；</w:t>
            </w:r>
          </w:p>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造成损失的；</w:t>
            </w:r>
          </w:p>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拒不改正或</w:t>
            </w:r>
            <w:r>
              <w:rPr>
                <w:rFonts w:hint="eastAsia" w:ascii="宋体" w:hAnsi="宋体" w:cs="宋体"/>
                <w:color w:val="auto"/>
                <w:kern w:val="0"/>
                <w:highlight w:val="none"/>
                <w:u w:val="none"/>
                <w:lang w:val="en-US" w:eastAsia="zh-CN"/>
              </w:rPr>
              <w:t>2</w:t>
            </w:r>
            <w:bookmarkStart w:id="0" w:name="_GoBack"/>
            <w:bookmarkEnd w:id="0"/>
            <w:r>
              <w:rPr>
                <w:rFonts w:hint="eastAsia" w:ascii="宋体" w:hAnsi="宋体" w:cs="宋体"/>
                <w:color w:val="auto"/>
                <w:kern w:val="0"/>
                <w:highlight w:val="none"/>
                <w:u w:val="none"/>
              </w:rPr>
              <w:t>次以上违法的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处以合同约定的规划编制费一点五倍以上二倍以下的罚款，责令停业整顿，由原发证机关降低资质等级或吊销资质证书；造成损失的，依法承担赔偿责任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3</w:t>
            </w:r>
          </w:p>
        </w:tc>
        <w:tc>
          <w:tcPr>
            <w:tcW w:w="974" w:type="dxa"/>
            <w:vMerge w:val="restart"/>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无资质承揽编制</w:t>
            </w:r>
            <w:r>
              <w:rPr>
                <w:rFonts w:hint="eastAsia" w:ascii="宋体" w:hAnsi="宋体" w:cs="宋体"/>
                <w:color w:val="auto"/>
                <w:kern w:val="0"/>
                <w:highlight w:val="none"/>
                <w:u w:val="none"/>
                <w:lang w:eastAsia="zh-CN"/>
              </w:rPr>
              <w:t>的</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《中华人民共和国城乡规划法》第二十四条第二款 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（一）有法人资格；</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（二）有规定数量的经国务院城乡规划主管部门注册的规划师；</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（三）有规定数量的相关专业技术人员；</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（四）有相应的技术装备；</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（五）有健全的技术、质量、财务管理制度。</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《中华人民共和国城乡规划法》第六十二条 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未依法取得资质证书承揽城乡规划编制工作的，由县级以上地方人民政府城乡规划主管部门责令停止违法行为，依照前款规定处以罚款；造成损失的，依法承担赔偿责任。</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未依法取得资质证书承揽城乡规划编制工作的，规划尚未实施的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责令停止违法行为，处以合同约定的规划编制费一倍以上一点五倍以下的罚款；造成损失的，依法承担赔偿责任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6"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未依法取得资质证书承揽城乡规划编制工作的，规划已实施的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责令停止违法行为，处以合同约定的规划编制费一点五倍以上二倍以下的罚款；造成损失的，依法承担赔偿责任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4</w:t>
            </w:r>
          </w:p>
        </w:tc>
        <w:tc>
          <w:tcPr>
            <w:tcW w:w="974" w:type="dxa"/>
            <w:vMerge w:val="restart"/>
            <w:vAlign w:val="center"/>
          </w:tcPr>
          <w:p>
            <w:pPr>
              <w:widowControl/>
              <w:spacing w:line="320" w:lineRule="exact"/>
              <w:jc w:val="left"/>
              <w:rPr>
                <w:rFonts w:hint="eastAsia" w:ascii="宋体" w:eastAsia="宋体"/>
                <w:color w:val="auto"/>
                <w:kern w:val="0"/>
                <w:highlight w:val="none"/>
                <w:u w:val="none"/>
                <w:lang w:eastAsia="zh-CN"/>
              </w:rPr>
            </w:pPr>
            <w:r>
              <w:rPr>
                <w:rFonts w:hint="eastAsia" w:ascii="宋体" w:hAnsi="宋体" w:cs="宋体"/>
                <w:color w:val="auto"/>
                <w:kern w:val="0"/>
                <w:highlight w:val="none"/>
                <w:u w:val="none"/>
              </w:rPr>
              <w:t>骗取资质承揽编制</w:t>
            </w:r>
            <w:r>
              <w:rPr>
                <w:rFonts w:hint="eastAsia" w:ascii="宋体" w:hAnsi="宋体" w:cs="宋体"/>
                <w:color w:val="auto"/>
                <w:kern w:val="0"/>
                <w:highlight w:val="none"/>
                <w:u w:val="none"/>
                <w:lang w:eastAsia="zh-CN"/>
              </w:rPr>
              <w:t>的</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《中华人民共和国城乡规划法》第二十四条第二款 从事城乡规划编制工作应当具备下列条件，并经国务院城乡规划主管部门或者省、自治区、直辖市人民政府城乡规划主管部门依法审查合格，取得相应等级的资质证书后，方可在资质等级许可的范围内从事城乡规划编制工作：</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（一）有法人资格；</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（二）有规定数量的经国务院城乡规划主管部门注册的规划师；</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（三）有规定数量的相关专业技术人员；</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（四）有相应的技术装备；</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（五）有健全的技术、质量、财务管理制度。</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《中华人民共和国城乡规划法》第六十二条 城乡规划编制单位有下列行为之一的，由所在地城市、县人民政府城乡规划主管部门责令限期改正，处合同约定的规划编制费一倍以上二倍以下的罚款；情节严重的，责令停业整顿，由原发证机关降低资质等级或者吊销资质证书；造成损失的，依法承担赔偿责任：</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以欺骗手段取得资质证书承揽城乡规划编制工作的，由原发证机关吊销资质证书，依照本条第一款规定处以罚款；造成损失的，依法承担赔偿责任。</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以欺骗手段取得资质证书承揽城乡规划编制工作的，规划尚未实施的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吊销资质证书，处以合同约定的规划编制费一倍以上一点五倍以下的罚款；造成损失的，依法承担赔偿责任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0"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以欺骗手段取得资质证书承揽城乡规划编制工作的，规划已实施的；</w:t>
            </w:r>
          </w:p>
          <w:p>
            <w:pPr>
              <w:widowControl/>
              <w:spacing w:line="320" w:lineRule="exact"/>
              <w:jc w:val="left"/>
              <w:rPr>
                <w:rFonts w:ascii="宋体"/>
                <w:color w:val="auto"/>
                <w:kern w:val="0"/>
                <w:highlight w:val="none"/>
                <w:u w:val="none"/>
              </w:rPr>
            </w:pP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吊销资质证书，处以合同约定的规划编制费一点五倍以上二倍以下的罚款；造成损失的，依法承担赔偿责任</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5</w:t>
            </w:r>
          </w:p>
        </w:tc>
        <w:tc>
          <w:tcPr>
            <w:tcW w:w="974" w:type="dxa"/>
            <w:vMerge w:val="restart"/>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违法建设尚可改正的（未取得、未按照）</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r>
              <w:rPr>
                <w:rFonts w:ascii="宋体"/>
                <w:color w:val="auto"/>
                <w:kern w:val="0"/>
                <w:highlight w:val="none"/>
                <w:u w:val="none"/>
              </w:rPr>
              <w:br w:type="textWrapping"/>
            </w:r>
            <w:r>
              <w:rPr>
                <w:rFonts w:hint="eastAsia" w:ascii="宋体"/>
                <w:color w:val="auto"/>
                <w:kern w:val="0"/>
                <w:highlight w:val="none"/>
                <w:u w:val="none"/>
                <w:lang w:val="en-US" w:eastAsia="zh-CN"/>
              </w:rPr>
              <w:t xml:space="preserve">   </w:t>
            </w:r>
            <w:r>
              <w:rPr>
                <w:rFonts w:hint="eastAsia" w:ascii="宋体" w:hAnsi="宋体" w:cs="宋体"/>
                <w:color w:val="auto"/>
                <w:kern w:val="0"/>
                <w:highlight w:val="none"/>
                <w:u w:val="none"/>
              </w:rPr>
              <w:t>第四十条第二款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lang w:val="en-US" w:eastAsia="zh-CN"/>
              </w:rPr>
              <w:t xml:space="preserve"> </w:t>
            </w:r>
            <w:r>
              <w:rPr>
                <w:rFonts w:hint="eastAsia" w:ascii="宋体" w:hAnsi="宋体" w:cs="宋体"/>
                <w:color w:val="auto"/>
                <w:kern w:val="0"/>
                <w:highlight w:val="none"/>
                <w:u w:val="none"/>
              </w:rPr>
              <w:t>第四十三条 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建设单位应当及时将依法变更后的规划条件报有关人民政府土地主管部门备案。</w:t>
            </w:r>
          </w:p>
        </w:tc>
        <w:tc>
          <w:tcPr>
            <w:tcW w:w="3392" w:type="dxa"/>
            <w:vMerge w:val="restart"/>
            <w:vAlign w:val="center"/>
          </w:tcPr>
          <w:p>
            <w:pPr>
              <w:widowControl/>
              <w:spacing w:line="320" w:lineRule="exact"/>
              <w:rPr>
                <w:rFonts w:ascii="宋体"/>
                <w:color w:val="auto"/>
                <w:kern w:val="0"/>
                <w:highlight w:val="none"/>
                <w:u w:val="none"/>
              </w:rPr>
            </w:pPr>
            <w:r>
              <w:rPr>
                <w:rFonts w:hint="eastAsia" w:ascii="宋体" w:hAnsi="宋体" w:cs="宋体"/>
                <w:color w:val="auto"/>
                <w:kern w:val="0"/>
                <w:highlight w:val="none"/>
                <w:u w:val="none"/>
              </w:rPr>
              <w:t>《中华人民共和国城乡规划法》第六十四条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20" w:lineRule="exact"/>
              <w:rPr>
                <w:rFonts w:ascii="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w:t>
            </w:r>
            <w:r>
              <w:rPr>
                <w:rFonts w:hint="eastAsia" w:ascii="宋体" w:hAnsi="宋体" w:cs="宋体"/>
                <w:color w:val="auto"/>
                <w:kern w:val="0"/>
                <w:highlight w:val="none"/>
                <w:u w:val="none"/>
              </w:rPr>
              <w:t>以下的；违法建设面积</w:t>
            </w:r>
            <w:r>
              <w:rPr>
                <w:rFonts w:hint="eastAsia" w:ascii="宋体" w:hAnsi="宋体" w:cs="宋体"/>
                <w:strike w:val="0"/>
                <w:dstrike w:val="0"/>
                <w:color w:val="auto"/>
                <w:kern w:val="0"/>
                <w:highlight w:val="none"/>
                <w:u w:val="none"/>
                <w:lang w:val="en-US" w:eastAsia="zh-CN"/>
              </w:rPr>
              <w:t>200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限期改正</w:t>
            </w:r>
            <w:r>
              <w:rPr>
                <w:rFonts w:ascii="宋体" w:cs="宋体"/>
                <w:color w:val="auto"/>
                <w:kern w:val="0"/>
                <w:highlight w:val="none"/>
                <w:u w:val="none"/>
              </w:rPr>
              <w:t>,</w:t>
            </w:r>
            <w:r>
              <w:rPr>
                <w:rFonts w:hint="eastAsia" w:ascii="宋体" w:hAnsi="宋体" w:cs="宋体"/>
                <w:color w:val="auto"/>
                <w:kern w:val="0"/>
                <w:highlight w:val="none"/>
                <w:u w:val="none"/>
              </w:rPr>
              <w:t>处建设工程造价百分之五以上百分之六以下的罚款</w:t>
            </w:r>
          </w:p>
        </w:tc>
        <w:tc>
          <w:tcPr>
            <w:tcW w:w="984" w:type="dxa"/>
            <w:vMerge w:val="restart"/>
            <w:vAlign w:val="center"/>
          </w:tcPr>
          <w:p>
            <w:pPr>
              <w:widowControl/>
              <w:spacing w:line="320" w:lineRule="exact"/>
              <w:jc w:val="center"/>
              <w:rPr>
                <w:rFonts w:hint="eastAsia" w:ascii="宋体" w:hAnsi="宋体" w:eastAsia="宋体" w:cs="宋体"/>
                <w:color w:val="auto"/>
                <w:kern w:val="0"/>
                <w:highlight w:val="none"/>
                <w:u w:val="none"/>
                <w:lang w:val="en-US" w:eastAsia="zh-CN"/>
              </w:rPr>
            </w:pPr>
            <w:r>
              <w:rPr>
                <w:rFonts w:hint="eastAsia" w:ascii="宋体" w:hAnsi="宋体" w:cs="宋体"/>
                <w:color w:val="auto"/>
                <w:kern w:val="0"/>
                <w:highlight w:val="none"/>
                <w:u w:val="none"/>
              </w:rPr>
              <w:t>围墙按长度计算</w:t>
            </w:r>
            <w:r>
              <w:rPr>
                <w:rFonts w:hint="eastAsia" w:ascii="宋体" w:hAnsi="宋体" w:cs="宋体"/>
                <w:color w:val="auto"/>
                <w:kern w:val="0"/>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rPr>
                <w:rFonts w:ascii="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5%以上15%以下</w:t>
            </w:r>
            <w:r>
              <w:rPr>
                <w:rFonts w:hint="eastAsia" w:ascii="宋体" w:hAnsi="宋体" w:cs="宋体"/>
                <w:color w:val="auto"/>
                <w:kern w:val="0"/>
                <w:highlight w:val="none"/>
                <w:u w:val="none"/>
              </w:rPr>
              <w:t>的；违法建设面积</w:t>
            </w:r>
            <w:r>
              <w:rPr>
                <w:rFonts w:hint="eastAsia" w:ascii="宋体" w:hAnsi="宋体" w:cs="宋体"/>
                <w:color w:val="auto"/>
                <w:kern w:val="0"/>
                <w:highlight w:val="none"/>
                <w:u w:val="none"/>
                <w:lang w:val="en-US" w:eastAsia="zh-CN"/>
              </w:rPr>
              <w:t>200</w:t>
            </w:r>
            <w:r>
              <w:rPr>
                <w:rFonts w:ascii="宋体" w:hAnsi="宋体" w:cs="宋体"/>
                <w:color w:val="auto"/>
                <w:kern w:val="0"/>
                <w:highlight w:val="none"/>
                <w:u w:val="none"/>
              </w:rPr>
              <w:t>平方米以上</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限期改正</w:t>
            </w:r>
            <w:r>
              <w:rPr>
                <w:rFonts w:ascii="宋体" w:cs="宋体"/>
                <w:color w:val="auto"/>
                <w:kern w:val="0"/>
                <w:highlight w:val="none"/>
                <w:u w:val="none"/>
              </w:rPr>
              <w:t>,</w:t>
            </w:r>
            <w:r>
              <w:rPr>
                <w:rFonts w:hint="eastAsia" w:ascii="宋体" w:hAnsi="宋体" w:cs="宋体"/>
                <w:color w:val="auto"/>
                <w:kern w:val="0"/>
                <w:highlight w:val="none"/>
                <w:u w:val="none"/>
              </w:rPr>
              <w:t>处建设工程造价百分之六以上百分之八以下的罚款</w:t>
            </w:r>
          </w:p>
        </w:tc>
        <w:tc>
          <w:tcPr>
            <w:tcW w:w="984" w:type="dxa"/>
            <w:vMerge w:val="continue"/>
            <w:vAlign w:val="center"/>
          </w:tcPr>
          <w:p>
            <w:pPr>
              <w:widowControl/>
              <w:spacing w:line="320" w:lineRule="exact"/>
              <w:jc w:val="left"/>
              <w:rPr>
                <w:rFonts w:ascii="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rPr>
                <w:rFonts w:ascii="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15%</w:t>
            </w:r>
            <w:r>
              <w:rPr>
                <w:rFonts w:hint="eastAsia" w:ascii="宋体" w:hAnsi="宋体" w:cs="宋体"/>
                <w:color w:val="auto"/>
                <w:kern w:val="0"/>
                <w:highlight w:val="none"/>
                <w:u w:val="none"/>
              </w:rPr>
              <w:t>以上的；违法建设面积</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平方米以上的。</w:t>
            </w:r>
          </w:p>
        </w:tc>
        <w:tc>
          <w:tcPr>
            <w:tcW w:w="1843"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限期改正</w:t>
            </w:r>
            <w:r>
              <w:rPr>
                <w:rFonts w:ascii="宋体" w:cs="宋体"/>
                <w:color w:val="auto"/>
                <w:kern w:val="0"/>
                <w:highlight w:val="none"/>
                <w:u w:val="none"/>
              </w:rPr>
              <w:t>,</w:t>
            </w:r>
            <w:r>
              <w:rPr>
                <w:rFonts w:hint="eastAsia" w:ascii="宋体" w:hAnsi="宋体" w:cs="宋体"/>
                <w:color w:val="auto"/>
                <w:kern w:val="0"/>
                <w:highlight w:val="none"/>
                <w:u w:val="none"/>
              </w:rPr>
              <w:t>处建设工程造价百分之八以上百分之十以下的罚款</w:t>
            </w:r>
          </w:p>
        </w:tc>
        <w:tc>
          <w:tcPr>
            <w:tcW w:w="984" w:type="dxa"/>
            <w:vMerge w:val="continue"/>
            <w:vAlign w:val="center"/>
          </w:tcPr>
          <w:p>
            <w:pPr>
              <w:widowControl/>
              <w:spacing w:line="320" w:lineRule="exact"/>
              <w:jc w:val="left"/>
              <w:rPr>
                <w:rFonts w:ascii="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586" w:type="dxa"/>
            <w:vMerge w:val="restart"/>
            <w:vAlign w:val="center"/>
          </w:tcPr>
          <w:p>
            <w:pPr>
              <w:spacing w:line="320" w:lineRule="exact"/>
              <w:jc w:val="center"/>
              <w:rPr>
                <w:rFonts w:ascii="宋体" w:hAnsi="宋体" w:cs="宋体"/>
                <w:color w:val="auto"/>
                <w:kern w:val="0"/>
                <w:highlight w:val="none"/>
                <w:u w:val="none"/>
              </w:rPr>
            </w:pPr>
            <w:r>
              <w:rPr>
                <w:rFonts w:ascii="宋体" w:hAnsi="宋体" w:cs="宋体"/>
                <w:color w:val="auto"/>
                <w:kern w:val="0"/>
                <w:highlight w:val="none"/>
                <w:u w:val="none"/>
              </w:rPr>
              <w:t>6</w:t>
            </w:r>
          </w:p>
        </w:tc>
        <w:tc>
          <w:tcPr>
            <w:tcW w:w="974" w:type="dxa"/>
            <w:vMerge w:val="restart"/>
            <w:vAlign w:val="center"/>
          </w:tcPr>
          <w:p>
            <w:pPr>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违法建设无法改正</w:t>
            </w:r>
            <w:r>
              <w:rPr>
                <w:rFonts w:ascii="宋体" w:cs="宋体"/>
                <w:color w:val="auto"/>
                <w:kern w:val="0"/>
                <w:highlight w:val="none"/>
                <w:u w:val="none"/>
              </w:rPr>
              <w:t>,</w:t>
            </w:r>
            <w:r>
              <w:rPr>
                <w:rFonts w:hint="eastAsia" w:ascii="宋体" w:hAnsi="宋体" w:cs="宋体"/>
                <w:color w:val="auto"/>
                <w:kern w:val="0"/>
                <w:highlight w:val="none"/>
                <w:u w:val="none"/>
              </w:rPr>
              <w:t>可以拆除的（未取得、未按照）</w:t>
            </w:r>
          </w:p>
        </w:tc>
        <w:tc>
          <w:tcPr>
            <w:tcW w:w="4387" w:type="dxa"/>
            <w:vMerge w:val="restart"/>
            <w:vAlign w:val="center"/>
          </w:tcPr>
          <w:p>
            <w:pPr>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r>
              <w:rPr>
                <w:rFonts w:ascii="宋体"/>
                <w:color w:val="auto"/>
                <w:kern w:val="0"/>
                <w:highlight w:val="none"/>
                <w:u w:val="none"/>
              </w:rPr>
              <w:br w:type="textWrapping"/>
            </w:r>
            <w:r>
              <w:rPr>
                <w:rFonts w:hint="eastAsia" w:ascii="宋体"/>
                <w:color w:val="auto"/>
                <w:kern w:val="0"/>
                <w:highlight w:val="none"/>
                <w:u w:val="none"/>
                <w:lang w:val="en-US" w:eastAsia="zh-CN"/>
              </w:rPr>
              <w:t xml:space="preserve">  </w:t>
            </w:r>
            <w:r>
              <w:rPr>
                <w:rFonts w:hint="eastAsia" w:ascii="宋体" w:hAnsi="宋体" w:cs="宋体"/>
                <w:color w:val="auto"/>
                <w:kern w:val="0"/>
                <w:highlight w:val="none"/>
                <w:u w:val="none"/>
              </w:rPr>
              <w:t>第四十条第二款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第四十三条 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建设单位应当及时将依法变更后的规划条件报有关人民政府土地主管部门备案。</w:t>
            </w:r>
          </w:p>
        </w:tc>
        <w:tc>
          <w:tcPr>
            <w:tcW w:w="3392" w:type="dxa"/>
            <w:vMerge w:val="restart"/>
            <w:vAlign w:val="center"/>
          </w:tcPr>
          <w:p>
            <w:pPr>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pPr>
              <w:widowControl/>
              <w:spacing w:line="320" w:lineRule="exact"/>
              <w:jc w:val="center"/>
              <w:rPr>
                <w:rFonts w:ascii="宋体" w:hAnsi="宋体" w:cs="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w:t>
            </w:r>
            <w:r>
              <w:rPr>
                <w:rFonts w:hint="eastAsia" w:ascii="宋体" w:hAnsi="宋体" w:cs="宋体"/>
                <w:color w:val="auto"/>
                <w:kern w:val="0"/>
                <w:highlight w:val="none"/>
                <w:u w:val="none"/>
              </w:rPr>
              <w:t>以下的；违法建设面积</w:t>
            </w:r>
            <w:r>
              <w:rPr>
                <w:rFonts w:hint="eastAsia" w:ascii="宋体" w:hAnsi="宋体" w:cs="宋体"/>
                <w:color w:val="auto"/>
                <w:kern w:val="0"/>
                <w:highlight w:val="none"/>
                <w:u w:val="none"/>
                <w:lang w:val="en-US" w:eastAsia="zh-CN"/>
              </w:rPr>
              <w:t>200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限期拆除</w:t>
            </w:r>
            <w:r>
              <w:rPr>
                <w:rFonts w:ascii="宋体" w:cs="宋体"/>
                <w:color w:val="auto"/>
                <w:kern w:val="0"/>
                <w:highlight w:val="none"/>
                <w:u w:val="none"/>
              </w:rPr>
              <w:t>,</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w:t>
            </w:r>
            <w:r>
              <w:rPr>
                <w:rFonts w:hint="eastAsia" w:ascii="宋体" w:hAnsi="宋体" w:cs="宋体"/>
                <w:color w:val="auto"/>
                <w:kern w:val="0"/>
                <w:highlight w:val="none"/>
                <w:u w:val="none"/>
                <w:lang w:eastAsia="zh-CN"/>
              </w:rPr>
              <w:t>百分之二以下</w:t>
            </w:r>
            <w:r>
              <w:rPr>
                <w:rFonts w:hint="eastAsia" w:ascii="宋体" w:hAnsi="宋体" w:cs="宋体"/>
                <w:color w:val="auto"/>
                <w:kern w:val="0"/>
                <w:highlight w:val="none"/>
                <w:u w:val="none"/>
              </w:rPr>
              <w:t>的罚款</w:t>
            </w:r>
          </w:p>
        </w:tc>
        <w:tc>
          <w:tcPr>
            <w:tcW w:w="984" w:type="dxa"/>
            <w:vMerge w:val="restart"/>
            <w:vAlign w:val="center"/>
          </w:tcPr>
          <w:p>
            <w:pPr>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在城市管理行政执法部门</w:t>
            </w:r>
            <w:r>
              <w:rPr>
                <w:rFonts w:hint="eastAsia" w:ascii="宋体" w:hAnsi="宋体" w:cs="宋体"/>
                <w:color w:val="auto"/>
                <w:kern w:val="0"/>
                <w:highlight w:val="none"/>
                <w:u w:val="none"/>
                <w:lang w:eastAsia="zh-CN"/>
              </w:rPr>
              <w:t>作出</w:t>
            </w:r>
            <w:r>
              <w:rPr>
                <w:rFonts w:hint="eastAsia" w:ascii="宋体" w:hAnsi="宋体" w:cs="宋体"/>
                <w:color w:val="auto"/>
                <w:kern w:val="0"/>
                <w:highlight w:val="none"/>
                <w:u w:val="none"/>
              </w:rPr>
              <w:t>行政处罚决定之前,当事人自行拆除在非法占用土地上新建的建筑物、其他设施,恢复土地原状的，可以免予处罚。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586" w:type="dxa"/>
            <w:vMerge w:val="continue"/>
            <w:vAlign w:val="center"/>
          </w:tcPr>
          <w:p>
            <w:pPr>
              <w:spacing w:line="320" w:lineRule="exact"/>
              <w:jc w:val="center"/>
              <w:rPr>
                <w:rFonts w:ascii="宋体" w:hAnsi="宋体" w:cs="宋体"/>
                <w:color w:val="auto"/>
                <w:kern w:val="0"/>
                <w:highlight w:val="none"/>
                <w:u w:val="none"/>
              </w:rPr>
            </w:pPr>
          </w:p>
        </w:tc>
        <w:tc>
          <w:tcPr>
            <w:tcW w:w="974" w:type="dxa"/>
            <w:vMerge w:val="continue"/>
            <w:vAlign w:val="center"/>
          </w:tcPr>
          <w:p>
            <w:pPr>
              <w:spacing w:line="320" w:lineRule="exact"/>
              <w:jc w:val="left"/>
              <w:rPr>
                <w:rFonts w:ascii="宋体" w:hAnsi="宋体" w:cs="宋体"/>
                <w:color w:val="auto"/>
                <w:kern w:val="0"/>
                <w:highlight w:val="none"/>
                <w:u w:val="none"/>
              </w:rPr>
            </w:pPr>
          </w:p>
        </w:tc>
        <w:tc>
          <w:tcPr>
            <w:tcW w:w="4387" w:type="dxa"/>
            <w:vMerge w:val="continue"/>
            <w:vAlign w:val="center"/>
          </w:tcPr>
          <w:p>
            <w:pPr>
              <w:spacing w:line="320" w:lineRule="exact"/>
              <w:jc w:val="left"/>
              <w:rPr>
                <w:rFonts w:ascii="宋体" w:hAnsi="宋体" w:cs="宋体"/>
                <w:color w:val="auto"/>
                <w:kern w:val="0"/>
                <w:highlight w:val="none"/>
                <w:u w:val="none"/>
              </w:rPr>
            </w:pPr>
          </w:p>
        </w:tc>
        <w:tc>
          <w:tcPr>
            <w:tcW w:w="3392" w:type="dxa"/>
            <w:vMerge w:val="continue"/>
            <w:vAlign w:val="center"/>
          </w:tcPr>
          <w:p>
            <w:pPr>
              <w:spacing w:line="320" w:lineRule="exact"/>
              <w:jc w:val="left"/>
              <w:rPr>
                <w:rFonts w:ascii="宋体" w:hAnsi="宋体" w:cs="宋体"/>
                <w:color w:val="auto"/>
                <w:kern w:val="0"/>
                <w:highlight w:val="none"/>
                <w:u w:val="none"/>
              </w:rPr>
            </w:pPr>
          </w:p>
        </w:tc>
        <w:tc>
          <w:tcPr>
            <w:tcW w:w="1131" w:type="dxa"/>
            <w:vAlign w:val="center"/>
          </w:tcPr>
          <w:p>
            <w:pPr>
              <w:widowControl/>
              <w:spacing w:line="320" w:lineRule="exact"/>
              <w:jc w:val="center"/>
              <w:rPr>
                <w:rFonts w:ascii="宋体" w:hAnsi="宋体" w:cs="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5%以上15%以下</w:t>
            </w:r>
            <w:r>
              <w:rPr>
                <w:rFonts w:hint="eastAsia" w:ascii="宋体" w:hAnsi="宋体" w:cs="宋体"/>
                <w:color w:val="auto"/>
                <w:kern w:val="0"/>
                <w:highlight w:val="none"/>
                <w:u w:val="none"/>
              </w:rPr>
              <w:t>的；违法建设面积</w:t>
            </w:r>
            <w:r>
              <w:rPr>
                <w:rFonts w:hint="eastAsia" w:ascii="宋体" w:hAnsi="宋体" w:cs="宋体"/>
                <w:color w:val="auto"/>
                <w:kern w:val="0"/>
                <w:highlight w:val="none"/>
                <w:u w:val="none"/>
                <w:lang w:val="en-US" w:eastAsia="zh-CN"/>
              </w:rPr>
              <w:t>200</w:t>
            </w:r>
            <w:r>
              <w:rPr>
                <w:rFonts w:ascii="宋体" w:hAnsi="宋体" w:cs="宋体"/>
                <w:color w:val="auto"/>
                <w:kern w:val="0"/>
                <w:highlight w:val="none"/>
                <w:u w:val="none"/>
              </w:rPr>
              <w:t>平方米以上</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限期拆除</w:t>
            </w:r>
            <w:r>
              <w:rPr>
                <w:rFonts w:ascii="宋体" w:cs="宋体"/>
                <w:color w:val="auto"/>
                <w:kern w:val="0"/>
                <w:highlight w:val="none"/>
                <w:u w:val="none"/>
              </w:rPr>
              <w:t>,</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二以上百分之六以下</w:t>
            </w:r>
            <w:r>
              <w:rPr>
                <w:rFonts w:hint="eastAsia" w:ascii="宋体" w:hAnsi="宋体" w:cs="宋体"/>
                <w:color w:val="auto"/>
                <w:kern w:val="0"/>
                <w:highlight w:val="none"/>
                <w:u w:val="none"/>
              </w:rPr>
              <w:t>的罚款</w:t>
            </w:r>
          </w:p>
        </w:tc>
        <w:tc>
          <w:tcPr>
            <w:tcW w:w="984" w:type="dxa"/>
            <w:vMerge w:val="continue"/>
            <w:vAlign w:val="center"/>
          </w:tcPr>
          <w:p>
            <w:pPr>
              <w:spacing w:line="320" w:lineRule="exact"/>
              <w:jc w:val="center"/>
              <w:rPr>
                <w:rFonts w:ascii="宋体" w:hAnsi="宋体" w:cs="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8" w:hRule="atLeast"/>
          <w:jc w:val="center"/>
        </w:trPr>
        <w:tc>
          <w:tcPr>
            <w:tcW w:w="586" w:type="dxa"/>
            <w:vMerge w:val="continue"/>
            <w:vAlign w:val="center"/>
          </w:tcPr>
          <w:p>
            <w:pPr>
              <w:widowControl/>
              <w:spacing w:line="320" w:lineRule="exact"/>
              <w:jc w:val="center"/>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s="Times New Roman"/>
                <w:color w:val="auto"/>
                <w:kern w:val="0"/>
                <w:highlight w:val="none"/>
                <w:u w:val="none"/>
              </w:rPr>
            </w:pPr>
            <w:r>
              <w:rPr>
                <w:rFonts w:hint="eastAsia" w:ascii="宋体" w:hAnsi="宋体" w:cs="宋体"/>
                <w:color w:val="auto"/>
                <w:kern w:val="0"/>
                <w:highlight w:val="none"/>
                <w:u w:val="none"/>
              </w:rPr>
              <w:t>　严重</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15%</w:t>
            </w:r>
            <w:r>
              <w:rPr>
                <w:rFonts w:hint="eastAsia" w:ascii="宋体" w:hAnsi="宋体" w:cs="宋体"/>
                <w:color w:val="auto"/>
                <w:kern w:val="0"/>
                <w:highlight w:val="none"/>
                <w:u w:val="none"/>
              </w:rPr>
              <w:t>以上的；违法建设面积</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平方米以上的。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限期</w:t>
            </w:r>
            <w:r>
              <w:rPr>
                <w:rFonts w:hint="eastAsia" w:ascii="宋体" w:hAnsi="宋体" w:cs="宋体"/>
                <w:color w:val="auto"/>
                <w:kern w:val="0"/>
                <w:highlight w:val="none"/>
                <w:u w:val="none"/>
                <w:lang w:eastAsia="zh-CN"/>
              </w:rPr>
              <w:t>拆除</w:t>
            </w:r>
            <w:r>
              <w:rPr>
                <w:rFonts w:ascii="宋体" w:cs="宋体"/>
                <w:color w:val="auto"/>
                <w:kern w:val="0"/>
                <w:highlight w:val="none"/>
                <w:u w:val="none"/>
              </w:rPr>
              <w:t>,</w:t>
            </w:r>
            <w:r>
              <w:rPr>
                <w:rFonts w:hint="eastAsia" w:ascii="宋体" w:cs="宋体"/>
                <w:color w:val="auto"/>
                <w:kern w:val="0"/>
                <w:highlight w:val="none"/>
                <w:u w:val="none"/>
              </w:rPr>
              <w:t>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六</w:t>
            </w:r>
            <w:r>
              <w:rPr>
                <w:rFonts w:hint="eastAsia" w:ascii="宋体" w:hAnsi="宋体" w:cs="宋体"/>
                <w:color w:val="auto"/>
                <w:kern w:val="0"/>
                <w:highlight w:val="none"/>
                <w:u w:val="none"/>
              </w:rPr>
              <w:t>以上百分之十以下的罚款</w:t>
            </w:r>
          </w:p>
        </w:tc>
        <w:tc>
          <w:tcPr>
            <w:tcW w:w="984" w:type="dxa"/>
            <w:vMerge w:val="continue"/>
            <w:vAlign w:val="center"/>
          </w:tcPr>
          <w:p>
            <w:pPr>
              <w:widowControl/>
              <w:spacing w:line="320" w:lineRule="exact"/>
              <w:jc w:val="center"/>
              <w:rPr>
                <w:rFonts w:ascii="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7</w:t>
            </w:r>
          </w:p>
        </w:tc>
        <w:tc>
          <w:tcPr>
            <w:tcW w:w="974" w:type="dxa"/>
            <w:vMerge w:val="restart"/>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违法建设无法改正</w:t>
            </w:r>
            <w:r>
              <w:rPr>
                <w:rFonts w:ascii="宋体" w:cs="宋体"/>
                <w:color w:val="auto"/>
                <w:kern w:val="0"/>
                <w:highlight w:val="none"/>
                <w:u w:val="none"/>
              </w:rPr>
              <w:t>,</w:t>
            </w:r>
            <w:r>
              <w:rPr>
                <w:rFonts w:hint="eastAsia" w:ascii="宋体" w:hAnsi="宋体" w:cs="宋体"/>
                <w:color w:val="auto"/>
                <w:kern w:val="0"/>
                <w:highlight w:val="none"/>
                <w:u w:val="none"/>
              </w:rPr>
              <w:t>不能拆除的（未取得，未按照）</w:t>
            </w:r>
          </w:p>
        </w:tc>
        <w:tc>
          <w:tcPr>
            <w:tcW w:w="4387" w:type="dxa"/>
            <w:vMerge w:val="restart"/>
            <w:vAlign w:val="center"/>
          </w:tcPr>
          <w:p>
            <w:pPr>
              <w:widowControl/>
              <w:spacing w:line="320" w:lineRule="exact"/>
              <w:ind w:firstLine="420" w:firstLineChars="200"/>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《中华人民共和国城乡规划法》第四十条第一款 在城市、镇规划区内进行建筑物、构筑物、道路、管线和其他工程建设的，建设单位或者个人应当向城市、县人民政府城乡规划主管部门或者省、自治区、直辖市人民政府确定的镇人民政府申请办理建设工程规划许可证。</w:t>
            </w:r>
          </w:p>
          <w:p>
            <w:pPr>
              <w:widowControl/>
              <w:spacing w:line="320" w:lineRule="exact"/>
              <w:ind w:firstLine="420" w:firstLineChars="200"/>
              <w:jc w:val="left"/>
              <w:rPr>
                <w:rFonts w:ascii="宋体"/>
                <w:color w:val="auto"/>
                <w:kern w:val="0"/>
                <w:highlight w:val="none"/>
                <w:u w:val="none"/>
              </w:rPr>
            </w:pPr>
            <w:r>
              <w:rPr>
                <w:rFonts w:hint="eastAsia" w:ascii="宋体" w:hAnsi="宋体" w:cs="宋体"/>
                <w:color w:val="auto"/>
                <w:kern w:val="0"/>
                <w:highlight w:val="none"/>
                <w:u w:val="none"/>
              </w:rPr>
              <w:t>第四十条第二款 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第四十三条 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建设单位应当及时将依法变更后的规划条件报有关人民政府土地主管部门备案。</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w:t>
            </w:r>
            <w:r>
              <w:rPr>
                <w:rFonts w:hint="eastAsia" w:ascii="宋体" w:hAnsi="宋体" w:cs="宋体"/>
                <w:color w:val="auto"/>
                <w:kern w:val="0"/>
                <w:highlight w:val="none"/>
                <w:u w:val="none"/>
              </w:rPr>
              <w:t>以下的；违法建设面积</w:t>
            </w:r>
            <w:r>
              <w:rPr>
                <w:rFonts w:hint="eastAsia" w:ascii="宋体" w:hAnsi="宋体" w:cs="宋体"/>
                <w:color w:val="auto"/>
                <w:kern w:val="0"/>
                <w:highlight w:val="none"/>
                <w:u w:val="none"/>
                <w:lang w:val="en-US" w:eastAsia="zh-CN"/>
              </w:rPr>
              <w:t>200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没收实物或者违法收入</w:t>
            </w:r>
            <w:r>
              <w:rPr>
                <w:rFonts w:hint="eastAsia" w:ascii="宋体" w:hAnsi="宋体" w:cs="宋体"/>
                <w:color w:val="auto"/>
                <w:kern w:val="0"/>
                <w:highlight w:val="none"/>
                <w:u w:val="none"/>
                <w:lang w:eastAsia="zh-CN"/>
              </w:rPr>
              <w:t>，</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w:t>
            </w:r>
            <w:r>
              <w:rPr>
                <w:rFonts w:hint="eastAsia" w:ascii="宋体" w:hAnsi="宋体" w:cs="宋体"/>
                <w:color w:val="auto"/>
                <w:kern w:val="0"/>
                <w:highlight w:val="none"/>
                <w:u w:val="none"/>
                <w:lang w:eastAsia="zh-CN"/>
              </w:rPr>
              <w:t>百分之二以下</w:t>
            </w:r>
            <w:r>
              <w:rPr>
                <w:rFonts w:hint="eastAsia" w:ascii="宋体" w:hAnsi="宋体" w:cs="宋体"/>
                <w:color w:val="auto"/>
                <w:kern w:val="0"/>
                <w:highlight w:val="none"/>
                <w:u w:val="none"/>
              </w:rPr>
              <w:t>的罚款</w:t>
            </w:r>
          </w:p>
        </w:tc>
        <w:tc>
          <w:tcPr>
            <w:tcW w:w="984" w:type="dxa"/>
            <w:vMerge w:val="restart"/>
            <w:vAlign w:val="center"/>
          </w:tcPr>
          <w:p>
            <w:pPr>
              <w:widowControl/>
              <w:spacing w:line="320" w:lineRule="exact"/>
              <w:jc w:val="left"/>
              <w:rPr>
                <w:rFonts w:ascii="宋体" w:cs="Times New Roman"/>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5%以上15%以下</w:t>
            </w:r>
            <w:r>
              <w:rPr>
                <w:rFonts w:hint="eastAsia" w:ascii="宋体" w:hAnsi="宋体" w:cs="宋体"/>
                <w:color w:val="auto"/>
                <w:kern w:val="0"/>
                <w:highlight w:val="none"/>
                <w:u w:val="none"/>
              </w:rPr>
              <w:t>的；违法建设面积</w:t>
            </w:r>
            <w:r>
              <w:rPr>
                <w:rFonts w:hint="eastAsia" w:ascii="宋体" w:hAnsi="宋体" w:cs="宋体"/>
                <w:color w:val="auto"/>
                <w:kern w:val="0"/>
                <w:highlight w:val="none"/>
                <w:u w:val="none"/>
                <w:lang w:val="en-US" w:eastAsia="zh-CN"/>
              </w:rPr>
              <w:t>200</w:t>
            </w:r>
            <w:r>
              <w:rPr>
                <w:rFonts w:ascii="宋体" w:hAnsi="宋体" w:cs="宋体"/>
                <w:color w:val="auto"/>
                <w:kern w:val="0"/>
                <w:highlight w:val="none"/>
                <w:u w:val="none"/>
              </w:rPr>
              <w:t>平方米以上</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平方米以下的。</w:t>
            </w:r>
          </w:p>
        </w:tc>
        <w:tc>
          <w:tcPr>
            <w:tcW w:w="1843"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没收实物或者违法收入，</w:t>
            </w:r>
            <w:r>
              <w:rPr>
                <w:rFonts w:hint="eastAsia" w:ascii="宋体" w:cs="宋体"/>
                <w:color w:val="auto"/>
                <w:kern w:val="0"/>
                <w:highlight w:val="none"/>
                <w:u w:val="none"/>
              </w:rPr>
              <w:t>可以并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二以上百分之六以下</w:t>
            </w:r>
            <w:r>
              <w:rPr>
                <w:rFonts w:hint="eastAsia" w:ascii="宋体" w:hAnsi="宋体" w:cs="宋体"/>
                <w:color w:val="auto"/>
                <w:kern w:val="0"/>
                <w:highlight w:val="none"/>
                <w:u w:val="none"/>
              </w:rPr>
              <w:t>的罚款</w:t>
            </w:r>
          </w:p>
        </w:tc>
        <w:tc>
          <w:tcPr>
            <w:tcW w:w="984" w:type="dxa"/>
            <w:vMerge w:val="continue"/>
            <w:vAlign w:val="center"/>
          </w:tcPr>
          <w:p>
            <w:pPr>
              <w:spacing w:line="320" w:lineRule="exact"/>
              <w:jc w:val="center"/>
              <w:rPr>
                <w:rFonts w:ascii="宋体" w:cs="Times New Roman"/>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2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违法的建筑面积占审批面积</w:t>
            </w:r>
            <w:r>
              <w:rPr>
                <w:rFonts w:hint="eastAsia" w:ascii="宋体" w:hAnsi="宋体" w:cs="宋体"/>
                <w:color w:val="auto"/>
                <w:kern w:val="0"/>
                <w:highlight w:val="none"/>
                <w:u w:val="none"/>
                <w:lang w:val="en-US" w:eastAsia="zh-CN"/>
              </w:rPr>
              <w:t>15%</w:t>
            </w:r>
            <w:r>
              <w:rPr>
                <w:rFonts w:hint="eastAsia" w:ascii="宋体" w:hAnsi="宋体" w:cs="宋体"/>
                <w:color w:val="auto"/>
                <w:kern w:val="0"/>
                <w:highlight w:val="none"/>
                <w:u w:val="none"/>
              </w:rPr>
              <w:t>以上的；违法建设面积</w:t>
            </w:r>
            <w:r>
              <w:rPr>
                <w:rFonts w:hint="eastAsia" w:ascii="宋体" w:hAnsi="宋体" w:cs="宋体"/>
                <w:color w:val="auto"/>
                <w:kern w:val="0"/>
                <w:highlight w:val="none"/>
                <w:u w:val="none"/>
                <w:lang w:val="en-US" w:eastAsia="zh-CN"/>
              </w:rPr>
              <w:t>500</w:t>
            </w:r>
            <w:r>
              <w:rPr>
                <w:rFonts w:ascii="宋体" w:hAnsi="宋体" w:cs="宋体"/>
                <w:color w:val="auto"/>
                <w:kern w:val="0"/>
                <w:highlight w:val="none"/>
                <w:u w:val="none"/>
              </w:rPr>
              <w:t>平方米以上的。</w:t>
            </w:r>
          </w:p>
        </w:tc>
        <w:tc>
          <w:tcPr>
            <w:tcW w:w="1843" w:type="dxa"/>
            <w:vAlign w:val="center"/>
          </w:tcPr>
          <w:p>
            <w:pPr>
              <w:widowControl/>
              <w:spacing w:line="320" w:lineRule="exact"/>
              <w:jc w:val="left"/>
              <w:rPr>
                <w:rFonts w:ascii="宋体" w:cs="Times New Roman"/>
                <w:color w:val="auto"/>
                <w:kern w:val="0"/>
                <w:highlight w:val="none"/>
                <w:u w:val="none"/>
              </w:rPr>
            </w:pPr>
            <w:r>
              <w:rPr>
                <w:rFonts w:hint="eastAsia" w:ascii="宋体" w:hAnsi="宋体" w:cs="宋体"/>
                <w:color w:val="auto"/>
                <w:kern w:val="0"/>
                <w:highlight w:val="none"/>
                <w:u w:val="none"/>
              </w:rPr>
              <w:t>没收实物或者违法收入，</w:t>
            </w:r>
            <w:r>
              <w:rPr>
                <w:rFonts w:hint="eastAsia" w:ascii="宋体" w:cs="宋体"/>
                <w:color w:val="auto"/>
                <w:kern w:val="0"/>
                <w:highlight w:val="none"/>
                <w:u w:val="none"/>
              </w:rPr>
              <w:t>并</w:t>
            </w:r>
            <w:r>
              <w:rPr>
                <w:rFonts w:hint="eastAsia" w:ascii="宋体" w:hAnsi="宋体" w:cs="宋体"/>
                <w:color w:val="auto"/>
                <w:kern w:val="0"/>
                <w:highlight w:val="none"/>
                <w:u w:val="none"/>
              </w:rPr>
              <w:t>处建设工程造价百分之</w:t>
            </w:r>
            <w:r>
              <w:rPr>
                <w:rFonts w:hint="eastAsia" w:ascii="宋体" w:hAnsi="宋体" w:cs="宋体"/>
                <w:color w:val="auto"/>
                <w:kern w:val="0"/>
                <w:highlight w:val="none"/>
                <w:u w:val="none"/>
                <w:lang w:eastAsia="zh-CN"/>
              </w:rPr>
              <w:t>六</w:t>
            </w:r>
            <w:r>
              <w:rPr>
                <w:rFonts w:hint="eastAsia" w:ascii="宋体" w:hAnsi="宋体" w:cs="宋体"/>
                <w:color w:val="auto"/>
                <w:kern w:val="0"/>
                <w:highlight w:val="none"/>
                <w:u w:val="none"/>
              </w:rPr>
              <w:t>以上百分之十以下的罚款</w:t>
            </w:r>
          </w:p>
        </w:tc>
        <w:tc>
          <w:tcPr>
            <w:tcW w:w="984" w:type="dxa"/>
            <w:vMerge w:val="continue"/>
            <w:vAlign w:val="center"/>
          </w:tcPr>
          <w:p>
            <w:pPr>
              <w:widowControl/>
              <w:spacing w:line="320" w:lineRule="exact"/>
              <w:jc w:val="center"/>
              <w:rPr>
                <w:rFonts w:ascii="宋体" w:cs="Times New Roman"/>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00" w:lineRule="exact"/>
              <w:jc w:val="center"/>
              <w:rPr>
                <w:rFonts w:ascii="宋体"/>
                <w:color w:val="auto"/>
                <w:kern w:val="0"/>
                <w:highlight w:val="none"/>
                <w:u w:val="none"/>
              </w:rPr>
            </w:pPr>
            <w:r>
              <w:rPr>
                <w:rFonts w:ascii="宋体" w:hAnsi="宋体" w:cs="宋体"/>
                <w:color w:val="auto"/>
                <w:kern w:val="0"/>
                <w:highlight w:val="none"/>
                <w:u w:val="none"/>
              </w:rPr>
              <w:t>8</w:t>
            </w:r>
          </w:p>
        </w:tc>
        <w:tc>
          <w:tcPr>
            <w:tcW w:w="974" w:type="dxa"/>
            <w:vMerge w:val="restart"/>
            <w:vAlign w:val="center"/>
          </w:tcPr>
          <w:p>
            <w:pPr>
              <w:widowControl/>
              <w:spacing w:line="300" w:lineRule="exact"/>
              <w:jc w:val="left"/>
              <w:rPr>
                <w:rFonts w:ascii="宋体"/>
                <w:color w:val="auto"/>
                <w:kern w:val="0"/>
                <w:highlight w:val="none"/>
                <w:u w:val="none"/>
              </w:rPr>
            </w:pPr>
            <w:r>
              <w:rPr>
                <w:rFonts w:hint="eastAsia" w:ascii="宋体" w:hAnsi="宋体" w:cs="宋体"/>
                <w:color w:val="auto"/>
                <w:kern w:val="0"/>
                <w:highlight w:val="none"/>
                <w:u w:val="none"/>
              </w:rPr>
              <w:t>擅自临时建设的</w:t>
            </w:r>
          </w:p>
        </w:tc>
        <w:tc>
          <w:tcPr>
            <w:tcW w:w="4387" w:type="dxa"/>
            <w:vMerge w:val="restart"/>
            <w:vAlign w:val="center"/>
          </w:tcPr>
          <w:p>
            <w:pPr>
              <w:widowControl/>
              <w:spacing w:line="30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《中华人民共和国城乡规划法》第四十四条第一款 在城市、镇规划区内进行临时建设的，应当经城市、县人民政府城乡规划主管部门批准。临时建设影响近期建设规划或者控制性详细规划的实施以及交通、市容、安全等的，不得批准。</w:t>
            </w:r>
          </w:p>
        </w:tc>
        <w:tc>
          <w:tcPr>
            <w:tcW w:w="3392" w:type="dxa"/>
            <w:vMerge w:val="restart"/>
            <w:vAlign w:val="center"/>
          </w:tcPr>
          <w:p>
            <w:pPr>
              <w:widowControl/>
              <w:spacing w:line="30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《中华人民共和国城乡规划法》第六十六条第一项  建设单位或者个人有下列行为之一的，由所在地城市、县人民政府城乡规划主管部门责令限期拆除，可以并处临时建设工程造价一倍以下的罚款：</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（一）未经批准进行临时建设的；</w:t>
            </w:r>
          </w:p>
        </w:tc>
        <w:tc>
          <w:tcPr>
            <w:tcW w:w="1131" w:type="dxa"/>
            <w:vAlign w:val="center"/>
          </w:tcPr>
          <w:p>
            <w:pPr>
              <w:widowControl/>
              <w:spacing w:line="30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临时建设建筑面积在</w:t>
            </w:r>
            <w:r>
              <w:rPr>
                <w:rFonts w:hint="eastAsia" w:ascii="宋体" w:hAnsi="宋体" w:cs="宋体"/>
                <w:color w:val="auto"/>
                <w:spacing w:val="-6"/>
                <w:kern w:val="0"/>
                <w:highlight w:val="none"/>
                <w:u w:val="none"/>
                <w:lang w:val="en-US" w:eastAsia="zh-CN"/>
              </w:rPr>
              <w:t>200</w:t>
            </w:r>
            <w:r>
              <w:rPr>
                <w:rFonts w:hint="eastAsia" w:ascii="宋体" w:hAnsi="宋体" w:cs="宋体"/>
                <w:color w:val="auto"/>
                <w:spacing w:val="-6"/>
                <w:kern w:val="0"/>
                <w:highlight w:val="none"/>
                <w:u w:val="none"/>
              </w:rPr>
              <w:t>平方米以下的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可处以临时建设工程造价零点五倍以下的罚款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00" w:lineRule="exact"/>
              <w:jc w:val="left"/>
              <w:rPr>
                <w:rFonts w:ascii="宋体"/>
                <w:color w:val="auto"/>
                <w:kern w:val="0"/>
                <w:highlight w:val="none"/>
                <w:u w:val="none"/>
              </w:rPr>
            </w:pPr>
          </w:p>
        </w:tc>
        <w:tc>
          <w:tcPr>
            <w:tcW w:w="974" w:type="dxa"/>
            <w:vMerge w:val="continue"/>
            <w:vAlign w:val="center"/>
          </w:tcPr>
          <w:p>
            <w:pPr>
              <w:widowControl/>
              <w:spacing w:line="300" w:lineRule="exact"/>
              <w:jc w:val="left"/>
              <w:rPr>
                <w:rFonts w:ascii="宋体"/>
                <w:color w:val="auto"/>
                <w:kern w:val="0"/>
                <w:highlight w:val="none"/>
                <w:u w:val="none"/>
              </w:rPr>
            </w:pPr>
          </w:p>
        </w:tc>
        <w:tc>
          <w:tcPr>
            <w:tcW w:w="4387" w:type="dxa"/>
            <w:vMerge w:val="continue"/>
            <w:vAlign w:val="center"/>
          </w:tcPr>
          <w:p>
            <w:pPr>
              <w:widowControl/>
              <w:spacing w:line="300" w:lineRule="exact"/>
              <w:jc w:val="left"/>
              <w:rPr>
                <w:rFonts w:ascii="宋体"/>
                <w:color w:val="auto"/>
                <w:kern w:val="0"/>
                <w:highlight w:val="none"/>
                <w:u w:val="none"/>
              </w:rPr>
            </w:pPr>
          </w:p>
        </w:tc>
        <w:tc>
          <w:tcPr>
            <w:tcW w:w="3392" w:type="dxa"/>
            <w:vMerge w:val="continue"/>
            <w:vAlign w:val="center"/>
          </w:tcPr>
          <w:p>
            <w:pPr>
              <w:widowControl/>
              <w:spacing w:line="300" w:lineRule="exact"/>
              <w:jc w:val="left"/>
              <w:rPr>
                <w:rFonts w:ascii="宋体"/>
                <w:color w:val="auto"/>
                <w:kern w:val="0"/>
                <w:highlight w:val="none"/>
                <w:u w:val="none"/>
              </w:rPr>
            </w:pPr>
          </w:p>
        </w:tc>
        <w:tc>
          <w:tcPr>
            <w:tcW w:w="1131" w:type="dxa"/>
            <w:vAlign w:val="center"/>
          </w:tcPr>
          <w:p>
            <w:pPr>
              <w:widowControl/>
              <w:spacing w:line="30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00" w:lineRule="exact"/>
              <w:jc w:val="left"/>
              <w:rPr>
                <w:rFonts w:hint="default" w:ascii="宋体" w:eastAsia="宋体" w:cs="宋体"/>
                <w:color w:val="auto"/>
                <w:spacing w:val="-6"/>
                <w:kern w:val="0"/>
                <w:highlight w:val="none"/>
                <w:u w:val="none"/>
                <w:lang w:val="en-US" w:eastAsia="zh-CN"/>
              </w:rPr>
            </w:pPr>
            <w:r>
              <w:rPr>
                <w:rFonts w:hint="eastAsia" w:ascii="宋体" w:hAnsi="宋体" w:cs="宋体"/>
                <w:color w:val="auto"/>
                <w:spacing w:val="-6"/>
                <w:kern w:val="0"/>
                <w:highlight w:val="none"/>
                <w:u w:val="none"/>
              </w:rPr>
              <w:t>临时建设建筑面积在</w:t>
            </w:r>
            <w:r>
              <w:rPr>
                <w:rFonts w:hint="eastAsia" w:ascii="宋体" w:hAnsi="宋体" w:cs="宋体"/>
                <w:color w:val="auto"/>
                <w:spacing w:val="-6"/>
                <w:kern w:val="0"/>
                <w:highlight w:val="none"/>
                <w:u w:val="none"/>
                <w:lang w:val="en-US" w:eastAsia="zh-CN"/>
              </w:rPr>
              <w:t>200</w:t>
            </w:r>
            <w:r>
              <w:rPr>
                <w:rFonts w:hint="eastAsia" w:ascii="宋体" w:hAnsi="宋体" w:cs="宋体"/>
                <w:color w:val="auto"/>
                <w:spacing w:val="-6"/>
                <w:kern w:val="0"/>
                <w:highlight w:val="none"/>
                <w:u w:val="none"/>
              </w:rPr>
              <w:t>平方米以上的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处以临时建设工程造价零点五倍以上一倍以下的罚款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586" w:type="dxa"/>
            <w:vMerge w:val="restart"/>
            <w:vAlign w:val="center"/>
          </w:tcPr>
          <w:p>
            <w:pPr>
              <w:spacing w:line="300" w:lineRule="exact"/>
              <w:jc w:val="center"/>
              <w:rPr>
                <w:rFonts w:ascii="宋体" w:hAnsi="宋体" w:cs="宋体"/>
                <w:color w:val="auto"/>
                <w:kern w:val="0"/>
                <w:highlight w:val="none"/>
                <w:u w:val="none"/>
              </w:rPr>
            </w:pPr>
            <w:r>
              <w:rPr>
                <w:rFonts w:ascii="宋体" w:hAnsi="宋体" w:cs="宋体"/>
                <w:color w:val="auto"/>
                <w:kern w:val="0"/>
                <w:highlight w:val="none"/>
                <w:u w:val="none"/>
              </w:rPr>
              <w:t>9</w:t>
            </w:r>
          </w:p>
        </w:tc>
        <w:tc>
          <w:tcPr>
            <w:tcW w:w="974"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未按批准内容临时建设的</w:t>
            </w:r>
          </w:p>
        </w:tc>
        <w:tc>
          <w:tcPr>
            <w:tcW w:w="4387"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《中华人民共和国城乡规划法》第四十四条第一款 在城市、镇规划区内进行临时建设的，应当经城市、县人民政府城乡规划主管部门批准。临时建设影响近期建设规划或者控制性详细规划的实施以及交通、市容、安全等的，不得批准。</w:t>
            </w:r>
          </w:p>
        </w:tc>
        <w:tc>
          <w:tcPr>
            <w:tcW w:w="3392"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《中华人民共和国城乡规划法》第六十六条第二项 建设单位或者个人有下列行为之一的，由所在地城市、县人民政府城乡规划主管部门责令限期拆除，可以并处临时建设工程造价一倍以下的罚款：</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二）未按照批准内容进行临时建设的；</w:t>
            </w:r>
          </w:p>
        </w:tc>
        <w:tc>
          <w:tcPr>
            <w:tcW w:w="1131" w:type="dxa"/>
            <w:vAlign w:val="center"/>
          </w:tcPr>
          <w:p>
            <w:pPr>
              <w:widowControl/>
              <w:spacing w:line="300" w:lineRule="exact"/>
              <w:jc w:val="center"/>
              <w:rPr>
                <w:rFonts w:ascii="宋体" w:hAnsi="宋体" w:cs="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00" w:lineRule="exact"/>
              <w:jc w:val="left"/>
              <w:rPr>
                <w:rFonts w:ascii="宋体" w:hAnsi="宋体" w:cs="宋体"/>
                <w:color w:val="auto"/>
                <w:spacing w:val="-6"/>
                <w:kern w:val="0"/>
                <w:highlight w:val="none"/>
                <w:u w:val="none"/>
              </w:rPr>
            </w:pPr>
            <w:r>
              <w:rPr>
                <w:rFonts w:hint="eastAsia" w:ascii="宋体" w:hAnsi="宋体" w:cs="宋体"/>
                <w:color w:val="auto"/>
                <w:spacing w:val="-6"/>
                <w:kern w:val="0"/>
                <w:highlight w:val="none"/>
                <w:u w:val="none"/>
              </w:rPr>
              <w:t>超建面积占审批面积的</w:t>
            </w:r>
            <w:r>
              <w:rPr>
                <w:rFonts w:hint="eastAsia" w:ascii="宋体" w:hAnsi="宋体" w:cs="宋体"/>
                <w:color w:val="auto"/>
                <w:spacing w:val="-6"/>
                <w:kern w:val="0"/>
                <w:highlight w:val="none"/>
                <w:u w:val="none"/>
                <w:lang w:val="en-US" w:eastAsia="zh-CN"/>
              </w:rPr>
              <w:t>5%</w:t>
            </w:r>
            <w:r>
              <w:rPr>
                <w:rFonts w:hint="eastAsia" w:ascii="宋体" w:hAnsi="宋体" w:cs="宋体"/>
                <w:color w:val="auto"/>
                <w:spacing w:val="-6"/>
                <w:kern w:val="0"/>
                <w:highlight w:val="none"/>
                <w:u w:val="none"/>
              </w:rPr>
              <w:t>以下</w:t>
            </w:r>
          </w:p>
        </w:tc>
        <w:tc>
          <w:tcPr>
            <w:tcW w:w="1843" w:type="dxa"/>
            <w:vAlign w:val="center"/>
          </w:tcPr>
          <w:p>
            <w:pPr>
              <w:widowControl/>
              <w:spacing w:line="300" w:lineRule="exact"/>
              <w:jc w:val="left"/>
              <w:rPr>
                <w:rFonts w:ascii="宋体" w:hAnsi="宋体" w:cs="宋体"/>
                <w:color w:val="auto"/>
                <w:spacing w:val="-6"/>
                <w:kern w:val="0"/>
                <w:highlight w:val="none"/>
                <w:u w:val="none"/>
              </w:rPr>
            </w:pPr>
            <w:r>
              <w:rPr>
                <w:rFonts w:hint="eastAsia" w:ascii="宋体" w:hAnsi="宋体" w:cs="宋体"/>
                <w:color w:val="auto"/>
                <w:spacing w:val="-6"/>
                <w:kern w:val="0"/>
                <w:highlight w:val="none"/>
                <w:u w:val="none"/>
              </w:rPr>
              <w:t>责令限期拆除，可并处临时建设工程造价零点五倍以下罚款</w:t>
            </w:r>
          </w:p>
        </w:tc>
        <w:tc>
          <w:tcPr>
            <w:tcW w:w="984" w:type="dxa"/>
            <w:vAlign w:val="center"/>
          </w:tcPr>
          <w:p>
            <w:pPr>
              <w:widowControl/>
              <w:spacing w:line="320" w:lineRule="exact"/>
              <w:jc w:val="center"/>
              <w:rPr>
                <w:rFonts w:ascii="宋体" w:hAnsi="宋体" w:cs="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00" w:lineRule="exact"/>
              <w:jc w:val="center"/>
              <w:rPr>
                <w:rFonts w:ascii="宋体"/>
                <w:color w:val="auto"/>
                <w:kern w:val="0"/>
                <w:highlight w:val="none"/>
                <w:u w:val="none"/>
              </w:rPr>
            </w:pPr>
          </w:p>
        </w:tc>
        <w:tc>
          <w:tcPr>
            <w:tcW w:w="974" w:type="dxa"/>
            <w:vMerge w:val="continue"/>
            <w:vAlign w:val="center"/>
          </w:tcPr>
          <w:p>
            <w:pPr>
              <w:widowControl/>
              <w:spacing w:line="300" w:lineRule="exact"/>
              <w:jc w:val="left"/>
              <w:rPr>
                <w:rFonts w:ascii="宋体"/>
                <w:color w:val="auto"/>
                <w:kern w:val="0"/>
                <w:highlight w:val="none"/>
                <w:u w:val="none"/>
              </w:rPr>
            </w:pPr>
          </w:p>
        </w:tc>
        <w:tc>
          <w:tcPr>
            <w:tcW w:w="4387" w:type="dxa"/>
            <w:vMerge w:val="continue"/>
            <w:vAlign w:val="center"/>
          </w:tcPr>
          <w:p>
            <w:pPr>
              <w:widowControl/>
              <w:spacing w:line="300" w:lineRule="exact"/>
              <w:jc w:val="left"/>
              <w:rPr>
                <w:rFonts w:ascii="宋体"/>
                <w:color w:val="auto"/>
                <w:kern w:val="0"/>
                <w:highlight w:val="none"/>
                <w:u w:val="none"/>
              </w:rPr>
            </w:pPr>
          </w:p>
        </w:tc>
        <w:tc>
          <w:tcPr>
            <w:tcW w:w="3392" w:type="dxa"/>
            <w:vMerge w:val="continue"/>
            <w:vAlign w:val="center"/>
          </w:tcPr>
          <w:p>
            <w:pPr>
              <w:widowControl/>
              <w:spacing w:line="300" w:lineRule="exact"/>
              <w:jc w:val="left"/>
              <w:rPr>
                <w:rFonts w:ascii="宋体"/>
                <w:color w:val="auto"/>
                <w:kern w:val="0"/>
                <w:highlight w:val="none"/>
                <w:u w:val="none"/>
              </w:rPr>
            </w:pPr>
          </w:p>
        </w:tc>
        <w:tc>
          <w:tcPr>
            <w:tcW w:w="1131" w:type="dxa"/>
            <w:vAlign w:val="center"/>
          </w:tcPr>
          <w:p>
            <w:pPr>
              <w:widowControl/>
              <w:spacing w:line="300" w:lineRule="exact"/>
              <w:jc w:val="center"/>
              <w:rPr>
                <w:rFonts w:ascii="宋体" w:cs="Times New Roman"/>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超建面积占审批面积的</w:t>
            </w:r>
            <w:r>
              <w:rPr>
                <w:rFonts w:hint="eastAsia" w:ascii="宋体" w:hAnsi="宋体" w:cs="宋体"/>
                <w:color w:val="auto"/>
                <w:spacing w:val="-6"/>
                <w:kern w:val="0"/>
                <w:highlight w:val="none"/>
                <w:u w:val="none"/>
                <w:lang w:val="en-US" w:eastAsia="zh-CN"/>
              </w:rPr>
              <w:t>5%</w:t>
            </w:r>
            <w:r>
              <w:rPr>
                <w:rFonts w:hint="eastAsia" w:ascii="宋体" w:hAnsi="宋体" w:cs="宋体"/>
                <w:color w:val="auto"/>
                <w:spacing w:val="-6"/>
                <w:kern w:val="0"/>
                <w:highlight w:val="none"/>
                <w:u w:val="none"/>
              </w:rPr>
              <w:t>以上</w:t>
            </w:r>
            <w:r>
              <w:rPr>
                <w:rFonts w:hint="eastAsia" w:ascii="宋体" w:hAnsi="宋体" w:cs="宋体"/>
                <w:color w:val="auto"/>
                <w:spacing w:val="-6"/>
                <w:kern w:val="0"/>
                <w:highlight w:val="none"/>
                <w:u w:val="none"/>
                <w:lang w:val="en-US" w:eastAsia="zh-CN"/>
              </w:rPr>
              <w:t>15%</w:t>
            </w:r>
            <w:r>
              <w:rPr>
                <w:rFonts w:hint="eastAsia" w:ascii="宋体" w:hAnsi="宋体" w:cs="宋体"/>
                <w:color w:val="auto"/>
                <w:spacing w:val="-6"/>
                <w:kern w:val="0"/>
                <w:highlight w:val="none"/>
                <w:u w:val="none"/>
              </w:rPr>
              <w:t>以下的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可以并处以临时建设工程造价零点五倍以上零点八倍以下的罚款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jc w:val="center"/>
        </w:trPr>
        <w:tc>
          <w:tcPr>
            <w:tcW w:w="586" w:type="dxa"/>
            <w:vMerge w:val="continue"/>
            <w:vAlign w:val="center"/>
          </w:tcPr>
          <w:p>
            <w:pPr>
              <w:widowControl/>
              <w:spacing w:line="300" w:lineRule="exact"/>
              <w:jc w:val="left"/>
              <w:rPr>
                <w:rFonts w:ascii="宋体"/>
                <w:color w:val="auto"/>
                <w:kern w:val="0"/>
                <w:highlight w:val="none"/>
                <w:u w:val="none"/>
              </w:rPr>
            </w:pPr>
          </w:p>
        </w:tc>
        <w:tc>
          <w:tcPr>
            <w:tcW w:w="974" w:type="dxa"/>
            <w:vMerge w:val="continue"/>
            <w:vAlign w:val="center"/>
          </w:tcPr>
          <w:p>
            <w:pPr>
              <w:widowControl/>
              <w:spacing w:line="300" w:lineRule="exact"/>
              <w:jc w:val="left"/>
              <w:rPr>
                <w:rFonts w:ascii="宋体"/>
                <w:color w:val="auto"/>
                <w:kern w:val="0"/>
                <w:highlight w:val="none"/>
                <w:u w:val="none"/>
              </w:rPr>
            </w:pPr>
          </w:p>
        </w:tc>
        <w:tc>
          <w:tcPr>
            <w:tcW w:w="4387" w:type="dxa"/>
            <w:vMerge w:val="continue"/>
            <w:vAlign w:val="center"/>
          </w:tcPr>
          <w:p>
            <w:pPr>
              <w:widowControl/>
              <w:spacing w:line="300" w:lineRule="exact"/>
              <w:jc w:val="left"/>
              <w:rPr>
                <w:rFonts w:ascii="宋体"/>
                <w:color w:val="auto"/>
                <w:kern w:val="0"/>
                <w:highlight w:val="none"/>
                <w:u w:val="none"/>
              </w:rPr>
            </w:pPr>
          </w:p>
        </w:tc>
        <w:tc>
          <w:tcPr>
            <w:tcW w:w="3392" w:type="dxa"/>
            <w:vMerge w:val="continue"/>
            <w:vAlign w:val="center"/>
          </w:tcPr>
          <w:p>
            <w:pPr>
              <w:widowControl/>
              <w:spacing w:line="300" w:lineRule="exact"/>
              <w:jc w:val="left"/>
              <w:rPr>
                <w:rFonts w:ascii="宋体"/>
                <w:color w:val="auto"/>
                <w:kern w:val="0"/>
                <w:highlight w:val="none"/>
                <w:u w:val="none"/>
              </w:rPr>
            </w:pPr>
          </w:p>
        </w:tc>
        <w:tc>
          <w:tcPr>
            <w:tcW w:w="1131" w:type="dxa"/>
            <w:vAlign w:val="center"/>
          </w:tcPr>
          <w:p>
            <w:pPr>
              <w:widowControl/>
              <w:spacing w:line="300" w:lineRule="exact"/>
              <w:jc w:val="center"/>
              <w:rPr>
                <w:rFonts w:ascii="宋体" w:cs="Times New Roman"/>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超建面积占审批面积的</w:t>
            </w:r>
            <w:r>
              <w:rPr>
                <w:rFonts w:hint="eastAsia" w:ascii="宋体" w:hAnsi="宋体" w:cs="宋体"/>
                <w:color w:val="auto"/>
                <w:spacing w:val="-6"/>
                <w:kern w:val="0"/>
                <w:highlight w:val="none"/>
                <w:u w:val="none"/>
                <w:lang w:val="en-US" w:eastAsia="zh-CN"/>
              </w:rPr>
              <w:t>15%</w:t>
            </w:r>
            <w:r>
              <w:rPr>
                <w:rFonts w:hint="eastAsia" w:ascii="宋体" w:hAnsi="宋体" w:cs="宋体"/>
                <w:color w:val="auto"/>
                <w:spacing w:val="-6"/>
                <w:kern w:val="0"/>
                <w:highlight w:val="none"/>
                <w:u w:val="none"/>
              </w:rPr>
              <w:t>以上的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并处以临时建设工程造价零点八倍以上一倍以下的罚款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586" w:type="dxa"/>
            <w:vMerge w:val="restart"/>
            <w:vAlign w:val="center"/>
          </w:tcPr>
          <w:p>
            <w:pPr>
              <w:spacing w:line="300" w:lineRule="exact"/>
              <w:jc w:val="center"/>
              <w:rPr>
                <w:rFonts w:ascii="宋体" w:hAnsi="宋体" w:cs="宋体"/>
                <w:color w:val="auto"/>
                <w:kern w:val="0"/>
                <w:highlight w:val="none"/>
                <w:u w:val="none"/>
              </w:rPr>
            </w:pPr>
            <w:r>
              <w:rPr>
                <w:rFonts w:ascii="宋体" w:hAnsi="宋体" w:cs="宋体"/>
                <w:color w:val="auto"/>
                <w:kern w:val="0"/>
                <w:highlight w:val="none"/>
                <w:u w:val="none"/>
              </w:rPr>
              <w:t>10</w:t>
            </w:r>
          </w:p>
        </w:tc>
        <w:tc>
          <w:tcPr>
            <w:tcW w:w="974"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临时建设超过期限不拆除的</w:t>
            </w:r>
          </w:p>
        </w:tc>
        <w:tc>
          <w:tcPr>
            <w:tcW w:w="4387"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《中华人民共和国城乡规划法》第四十四条第二款  临时建设应当在批准的使用期限内自行拆除。</w:t>
            </w:r>
          </w:p>
        </w:tc>
        <w:tc>
          <w:tcPr>
            <w:tcW w:w="3392" w:type="dxa"/>
            <w:vMerge w:val="restart"/>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《中华人民共和国城乡规划法》第六十六条第三项 建设单位或者个人有下列行为之一的，由所在地城市、县人民政府城乡规划主管部门责令限期拆除，可以并处临时建设工程造价一倍以下的罚款：</w:t>
            </w:r>
            <w:r>
              <w:rPr>
                <w:rFonts w:ascii="宋体"/>
                <w:color w:val="auto"/>
                <w:kern w:val="0"/>
                <w:highlight w:val="none"/>
                <w:u w:val="none"/>
              </w:rPr>
              <w:br w:type="textWrapping"/>
            </w:r>
            <w:r>
              <w:rPr>
                <w:rFonts w:ascii="宋体" w:hAnsi="宋体" w:cs="宋体"/>
                <w:color w:val="auto"/>
                <w:kern w:val="0"/>
                <w:highlight w:val="none"/>
                <w:u w:val="none"/>
              </w:rPr>
              <w:t xml:space="preserve">   </w:t>
            </w:r>
            <w:r>
              <w:rPr>
                <w:rFonts w:hint="eastAsia" w:ascii="宋体" w:hAnsi="宋体" w:cs="宋体"/>
                <w:color w:val="auto"/>
                <w:kern w:val="0"/>
                <w:highlight w:val="none"/>
                <w:u w:val="none"/>
              </w:rPr>
              <w:t>（三）临时建筑物、构筑物超过批准期限不拆除的。</w:t>
            </w:r>
          </w:p>
        </w:tc>
        <w:tc>
          <w:tcPr>
            <w:tcW w:w="1131" w:type="dxa"/>
            <w:vAlign w:val="center"/>
          </w:tcPr>
          <w:p>
            <w:pPr>
              <w:widowControl/>
              <w:spacing w:line="300" w:lineRule="exact"/>
              <w:jc w:val="center"/>
              <w:rPr>
                <w:rFonts w:ascii="宋体" w:hAnsi="宋体" w:cs="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00" w:lineRule="exact"/>
              <w:jc w:val="left"/>
              <w:rPr>
                <w:rFonts w:ascii="宋体" w:hAnsi="宋体" w:cs="宋体"/>
                <w:color w:val="auto"/>
                <w:spacing w:val="-6"/>
                <w:kern w:val="0"/>
                <w:highlight w:val="none"/>
                <w:u w:val="none"/>
              </w:rPr>
            </w:pPr>
            <w:r>
              <w:rPr>
                <w:rFonts w:hint="eastAsia" w:ascii="宋体" w:hAnsi="宋体" w:cs="宋体"/>
                <w:color w:val="auto"/>
                <w:spacing w:val="-6"/>
                <w:kern w:val="0"/>
                <w:highlight w:val="none"/>
                <w:u w:val="none"/>
              </w:rPr>
              <w:t>超过规定期限</w:t>
            </w:r>
            <w:r>
              <w:rPr>
                <w:rFonts w:ascii="宋体" w:hAnsi="宋体" w:cs="宋体"/>
                <w:color w:val="auto"/>
                <w:spacing w:val="-6"/>
                <w:kern w:val="0"/>
                <w:highlight w:val="none"/>
                <w:u w:val="none"/>
              </w:rPr>
              <w:t>1年</w:t>
            </w:r>
            <w:r>
              <w:rPr>
                <w:rFonts w:hint="eastAsia" w:ascii="宋体" w:hAnsi="宋体" w:cs="宋体"/>
                <w:color w:val="auto"/>
                <w:spacing w:val="-6"/>
                <w:kern w:val="0"/>
                <w:highlight w:val="none"/>
                <w:u w:val="none"/>
              </w:rPr>
              <w:t>内不自行拆除的</w:t>
            </w:r>
          </w:p>
        </w:tc>
        <w:tc>
          <w:tcPr>
            <w:tcW w:w="1843" w:type="dxa"/>
            <w:vAlign w:val="center"/>
          </w:tcPr>
          <w:p>
            <w:pPr>
              <w:widowControl/>
              <w:spacing w:line="300" w:lineRule="exact"/>
              <w:jc w:val="left"/>
              <w:rPr>
                <w:rFonts w:ascii="宋体" w:hAns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可处以临时建设工程造价零点五倍以下的罚款</w:t>
            </w:r>
          </w:p>
        </w:tc>
        <w:tc>
          <w:tcPr>
            <w:tcW w:w="984" w:type="dxa"/>
            <w:vAlign w:val="center"/>
          </w:tcPr>
          <w:p>
            <w:pPr>
              <w:widowControl/>
              <w:spacing w:line="320" w:lineRule="exact"/>
              <w:jc w:val="center"/>
              <w:rPr>
                <w:rFonts w:ascii="宋体" w:hAnsi="宋体" w:cs="宋体"/>
                <w:color w:val="auto"/>
                <w:kern w:val="0"/>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00" w:lineRule="exact"/>
              <w:jc w:val="center"/>
              <w:rPr>
                <w:rFonts w:ascii="宋体"/>
                <w:color w:val="auto"/>
                <w:kern w:val="0"/>
                <w:highlight w:val="none"/>
                <w:u w:val="none"/>
              </w:rPr>
            </w:pPr>
          </w:p>
        </w:tc>
        <w:tc>
          <w:tcPr>
            <w:tcW w:w="974" w:type="dxa"/>
            <w:vMerge w:val="continue"/>
            <w:vAlign w:val="center"/>
          </w:tcPr>
          <w:p>
            <w:pPr>
              <w:widowControl/>
              <w:spacing w:line="300" w:lineRule="exact"/>
              <w:jc w:val="left"/>
              <w:rPr>
                <w:rFonts w:ascii="宋体"/>
                <w:color w:val="auto"/>
                <w:kern w:val="0"/>
                <w:highlight w:val="none"/>
                <w:u w:val="none"/>
              </w:rPr>
            </w:pPr>
          </w:p>
        </w:tc>
        <w:tc>
          <w:tcPr>
            <w:tcW w:w="4387" w:type="dxa"/>
            <w:vMerge w:val="continue"/>
            <w:vAlign w:val="center"/>
          </w:tcPr>
          <w:p>
            <w:pPr>
              <w:widowControl/>
              <w:spacing w:line="300" w:lineRule="exact"/>
              <w:jc w:val="left"/>
              <w:rPr>
                <w:rFonts w:ascii="宋体"/>
                <w:color w:val="auto"/>
                <w:kern w:val="0"/>
                <w:highlight w:val="none"/>
                <w:u w:val="none"/>
              </w:rPr>
            </w:pPr>
          </w:p>
        </w:tc>
        <w:tc>
          <w:tcPr>
            <w:tcW w:w="3392" w:type="dxa"/>
            <w:vMerge w:val="continue"/>
            <w:vAlign w:val="center"/>
          </w:tcPr>
          <w:p>
            <w:pPr>
              <w:widowControl/>
              <w:spacing w:line="300" w:lineRule="exact"/>
              <w:jc w:val="left"/>
              <w:rPr>
                <w:rFonts w:ascii="宋体"/>
                <w:color w:val="auto"/>
                <w:kern w:val="0"/>
                <w:highlight w:val="none"/>
                <w:u w:val="none"/>
              </w:rPr>
            </w:pPr>
          </w:p>
        </w:tc>
        <w:tc>
          <w:tcPr>
            <w:tcW w:w="1131" w:type="dxa"/>
            <w:vAlign w:val="center"/>
          </w:tcPr>
          <w:p>
            <w:pPr>
              <w:widowControl/>
              <w:spacing w:line="300" w:lineRule="exact"/>
              <w:jc w:val="center"/>
              <w:rPr>
                <w:rFonts w:ascii="宋体" w:cs="Times New Roman"/>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超过规定期限</w:t>
            </w:r>
            <w:r>
              <w:rPr>
                <w:rFonts w:ascii="宋体" w:hAnsi="宋体" w:cs="宋体"/>
                <w:color w:val="auto"/>
                <w:spacing w:val="-6"/>
                <w:kern w:val="0"/>
                <w:highlight w:val="none"/>
                <w:u w:val="none"/>
              </w:rPr>
              <w:t>1年</w:t>
            </w:r>
            <w:r>
              <w:rPr>
                <w:rFonts w:hint="eastAsia" w:ascii="宋体" w:hAnsi="宋体" w:cs="宋体"/>
                <w:color w:val="auto"/>
                <w:spacing w:val="-6"/>
                <w:kern w:val="0"/>
                <w:highlight w:val="none"/>
                <w:u w:val="none"/>
              </w:rPr>
              <w:t>以上</w:t>
            </w:r>
            <w:r>
              <w:rPr>
                <w:rFonts w:ascii="宋体" w:hAnsi="宋体" w:cs="宋体"/>
                <w:color w:val="auto"/>
                <w:spacing w:val="-6"/>
                <w:kern w:val="0"/>
                <w:highlight w:val="none"/>
                <w:u w:val="none"/>
              </w:rPr>
              <w:t>2年</w:t>
            </w:r>
            <w:r>
              <w:rPr>
                <w:rFonts w:hint="eastAsia" w:ascii="宋体" w:hAnsi="宋体" w:cs="宋体"/>
                <w:color w:val="auto"/>
                <w:spacing w:val="-6"/>
                <w:kern w:val="0"/>
                <w:highlight w:val="none"/>
                <w:u w:val="none"/>
              </w:rPr>
              <w:t>以内不自行拆除的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可以并处以临时建设工程造价零点五倍以上零点八倍以下的罚款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00" w:lineRule="exact"/>
              <w:jc w:val="left"/>
              <w:rPr>
                <w:rFonts w:ascii="宋体"/>
                <w:color w:val="auto"/>
                <w:kern w:val="0"/>
                <w:highlight w:val="none"/>
                <w:u w:val="none"/>
              </w:rPr>
            </w:pPr>
          </w:p>
        </w:tc>
        <w:tc>
          <w:tcPr>
            <w:tcW w:w="974" w:type="dxa"/>
            <w:vMerge w:val="continue"/>
            <w:vAlign w:val="center"/>
          </w:tcPr>
          <w:p>
            <w:pPr>
              <w:widowControl/>
              <w:spacing w:line="300" w:lineRule="exact"/>
              <w:jc w:val="left"/>
              <w:rPr>
                <w:rFonts w:ascii="宋体"/>
                <w:color w:val="auto"/>
                <w:kern w:val="0"/>
                <w:highlight w:val="none"/>
                <w:u w:val="none"/>
              </w:rPr>
            </w:pPr>
          </w:p>
        </w:tc>
        <w:tc>
          <w:tcPr>
            <w:tcW w:w="4387" w:type="dxa"/>
            <w:vMerge w:val="continue"/>
            <w:vAlign w:val="center"/>
          </w:tcPr>
          <w:p>
            <w:pPr>
              <w:widowControl/>
              <w:spacing w:line="300" w:lineRule="exact"/>
              <w:jc w:val="left"/>
              <w:rPr>
                <w:rFonts w:ascii="宋体"/>
                <w:color w:val="auto"/>
                <w:kern w:val="0"/>
                <w:highlight w:val="none"/>
                <w:u w:val="none"/>
              </w:rPr>
            </w:pPr>
          </w:p>
        </w:tc>
        <w:tc>
          <w:tcPr>
            <w:tcW w:w="3392" w:type="dxa"/>
            <w:vMerge w:val="continue"/>
            <w:vAlign w:val="center"/>
          </w:tcPr>
          <w:p>
            <w:pPr>
              <w:widowControl/>
              <w:spacing w:line="300" w:lineRule="exact"/>
              <w:jc w:val="left"/>
              <w:rPr>
                <w:rFonts w:ascii="宋体"/>
                <w:color w:val="auto"/>
                <w:kern w:val="0"/>
                <w:highlight w:val="none"/>
                <w:u w:val="none"/>
              </w:rPr>
            </w:pPr>
          </w:p>
        </w:tc>
        <w:tc>
          <w:tcPr>
            <w:tcW w:w="1131" w:type="dxa"/>
            <w:vAlign w:val="center"/>
          </w:tcPr>
          <w:p>
            <w:pPr>
              <w:widowControl/>
              <w:spacing w:line="300" w:lineRule="exact"/>
              <w:jc w:val="center"/>
              <w:rPr>
                <w:rFonts w:ascii="宋体" w:cs="Times New Roman"/>
                <w:color w:val="auto"/>
                <w:kern w:val="0"/>
                <w:highlight w:val="none"/>
                <w:u w:val="none"/>
              </w:rPr>
            </w:pPr>
            <w:r>
              <w:rPr>
                <w:rFonts w:hint="eastAsia" w:ascii="宋体" w:hAnsi="宋体" w:cs="宋体"/>
                <w:color w:val="auto"/>
                <w:kern w:val="0"/>
                <w:highlight w:val="none"/>
                <w:u w:val="none"/>
              </w:rPr>
              <w:t>严重</w:t>
            </w:r>
          </w:p>
        </w:tc>
        <w:tc>
          <w:tcPr>
            <w:tcW w:w="1445"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超过规定期限</w:t>
            </w:r>
            <w:r>
              <w:rPr>
                <w:rFonts w:ascii="宋体" w:hAnsi="宋体" w:cs="宋体"/>
                <w:color w:val="auto"/>
                <w:spacing w:val="-6"/>
                <w:kern w:val="0"/>
                <w:highlight w:val="none"/>
                <w:u w:val="none"/>
              </w:rPr>
              <w:t>2</w:t>
            </w:r>
            <w:r>
              <w:rPr>
                <w:rFonts w:hint="eastAsia" w:ascii="宋体" w:hAnsi="宋体" w:cs="宋体"/>
                <w:color w:val="auto"/>
                <w:spacing w:val="-6"/>
                <w:kern w:val="0"/>
                <w:highlight w:val="none"/>
                <w:u w:val="none"/>
              </w:rPr>
              <w:t>年以上不自行拆除的</w:t>
            </w:r>
          </w:p>
        </w:tc>
        <w:tc>
          <w:tcPr>
            <w:tcW w:w="1843" w:type="dxa"/>
            <w:vAlign w:val="center"/>
          </w:tcPr>
          <w:p>
            <w:pPr>
              <w:widowControl/>
              <w:spacing w:line="300" w:lineRule="exact"/>
              <w:jc w:val="left"/>
              <w:rPr>
                <w:rFonts w:ascii="宋体" w:cs="宋体"/>
                <w:color w:val="auto"/>
                <w:spacing w:val="-6"/>
                <w:kern w:val="0"/>
                <w:highlight w:val="none"/>
                <w:u w:val="none"/>
              </w:rPr>
            </w:pPr>
            <w:r>
              <w:rPr>
                <w:rFonts w:hint="eastAsia" w:ascii="宋体" w:hAnsi="宋体" w:cs="宋体"/>
                <w:color w:val="auto"/>
                <w:spacing w:val="-6"/>
                <w:kern w:val="0"/>
                <w:highlight w:val="none"/>
                <w:u w:val="none"/>
              </w:rPr>
              <w:t>责令限期拆除</w:t>
            </w:r>
            <w:r>
              <w:rPr>
                <w:rFonts w:ascii="宋体" w:hAnsi="宋体" w:cs="宋体"/>
                <w:color w:val="auto"/>
                <w:spacing w:val="-6"/>
                <w:kern w:val="0"/>
                <w:highlight w:val="none"/>
                <w:u w:val="none"/>
              </w:rPr>
              <w:t>,</w:t>
            </w:r>
            <w:r>
              <w:rPr>
                <w:rFonts w:hint="eastAsia" w:ascii="宋体" w:hAnsi="宋体" w:cs="宋体"/>
                <w:color w:val="auto"/>
                <w:spacing w:val="-6"/>
                <w:kern w:val="0"/>
                <w:highlight w:val="none"/>
                <w:u w:val="none"/>
              </w:rPr>
              <w:t>并处以临时建设工程造价零点八倍以上一倍以下的罚款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restart"/>
            <w:vAlign w:val="center"/>
          </w:tcPr>
          <w:p>
            <w:pPr>
              <w:widowControl/>
              <w:spacing w:line="320" w:lineRule="exact"/>
              <w:jc w:val="center"/>
              <w:rPr>
                <w:rFonts w:ascii="宋体"/>
                <w:color w:val="auto"/>
                <w:kern w:val="0"/>
                <w:highlight w:val="none"/>
                <w:u w:val="none"/>
              </w:rPr>
            </w:pPr>
            <w:r>
              <w:rPr>
                <w:rFonts w:ascii="宋体" w:hAnsi="宋体" w:cs="宋体"/>
                <w:color w:val="auto"/>
                <w:kern w:val="0"/>
                <w:highlight w:val="none"/>
                <w:u w:val="none"/>
              </w:rPr>
              <w:t>11</w:t>
            </w:r>
          </w:p>
        </w:tc>
        <w:tc>
          <w:tcPr>
            <w:tcW w:w="974"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逾期未报送验收资料的</w:t>
            </w:r>
          </w:p>
        </w:tc>
        <w:tc>
          <w:tcPr>
            <w:tcW w:w="4387"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《中华人民共和国城乡规划法》第四十五条第二款 建设单位应当在竣工验收后六个月内向城乡规划主管部门报送有关竣工验收资料。</w:t>
            </w:r>
          </w:p>
        </w:tc>
        <w:tc>
          <w:tcPr>
            <w:tcW w:w="3392" w:type="dxa"/>
            <w:vMerge w:val="restart"/>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《中华人民共和国城乡规划法》第六十七条 建设单位未在建设工程竣工验收后六个月内向城乡规划主管部门报送有关竣工验收资料的，由所在地城市、县人民政府城乡规划主管部门责令限期补报；逾期不补报的，处一万元以上五万元以下的罚款。</w:t>
            </w: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轻微</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超过规定期限</w:t>
            </w:r>
            <w:r>
              <w:rPr>
                <w:rFonts w:ascii="宋体" w:hAnsi="宋体" w:cs="宋体"/>
                <w:color w:val="auto"/>
                <w:kern w:val="0"/>
                <w:highlight w:val="none"/>
                <w:u w:val="none"/>
              </w:rPr>
              <w:t>3</w:t>
            </w:r>
            <w:r>
              <w:rPr>
                <w:rFonts w:hint="eastAsia" w:ascii="宋体" w:hAnsi="宋体" w:cs="宋体"/>
                <w:color w:val="auto"/>
                <w:kern w:val="0"/>
                <w:highlight w:val="none"/>
                <w:u w:val="none"/>
              </w:rPr>
              <w:t>个月以内不补报的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处一万元以上二万元以下罚款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vAlign w:val="center"/>
          </w:tcPr>
          <w:p>
            <w:pPr>
              <w:widowControl/>
              <w:spacing w:line="320" w:lineRule="exact"/>
              <w:jc w:val="left"/>
              <w:rPr>
                <w:rFonts w:ascii="宋体"/>
                <w:color w:val="auto"/>
                <w:kern w:val="0"/>
                <w:highlight w:val="none"/>
                <w:u w:val="none"/>
              </w:rPr>
            </w:pPr>
          </w:p>
        </w:tc>
        <w:tc>
          <w:tcPr>
            <w:tcW w:w="1131"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一般</w:t>
            </w:r>
          </w:p>
        </w:tc>
        <w:tc>
          <w:tcPr>
            <w:tcW w:w="1445"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超过规定期限</w:t>
            </w:r>
            <w:r>
              <w:rPr>
                <w:rFonts w:ascii="宋体" w:hAnsi="宋体" w:cs="宋体"/>
                <w:color w:val="auto"/>
                <w:kern w:val="0"/>
                <w:highlight w:val="none"/>
                <w:u w:val="none"/>
              </w:rPr>
              <w:t>3</w:t>
            </w:r>
            <w:r>
              <w:rPr>
                <w:rFonts w:hint="eastAsia" w:ascii="宋体" w:hAnsi="宋体" w:cs="宋体"/>
                <w:color w:val="auto"/>
                <w:kern w:val="0"/>
                <w:highlight w:val="none"/>
                <w:u w:val="none"/>
              </w:rPr>
              <w:t>个月以上</w:t>
            </w:r>
            <w:r>
              <w:rPr>
                <w:rFonts w:ascii="宋体" w:hAnsi="宋体" w:cs="宋体"/>
                <w:color w:val="auto"/>
                <w:kern w:val="0"/>
                <w:highlight w:val="none"/>
                <w:u w:val="none"/>
              </w:rPr>
              <w:t>6</w:t>
            </w:r>
            <w:r>
              <w:rPr>
                <w:rFonts w:hint="eastAsia" w:ascii="宋体" w:hAnsi="宋体" w:cs="宋体"/>
                <w:color w:val="auto"/>
                <w:kern w:val="0"/>
                <w:highlight w:val="none"/>
                <w:u w:val="none"/>
              </w:rPr>
              <w:t>个月以内不补报的</w:t>
            </w:r>
          </w:p>
        </w:tc>
        <w:tc>
          <w:tcPr>
            <w:tcW w:w="1843" w:type="dxa"/>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处二万元以上三万元以下罚款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6" w:type="dxa"/>
            <w:vMerge w:val="continue"/>
            <w:vAlign w:val="center"/>
          </w:tcPr>
          <w:p>
            <w:pPr>
              <w:widowControl/>
              <w:spacing w:line="320" w:lineRule="exact"/>
              <w:jc w:val="left"/>
              <w:rPr>
                <w:rFonts w:ascii="宋体"/>
                <w:color w:val="auto"/>
                <w:kern w:val="0"/>
                <w:highlight w:val="none"/>
                <w:u w:val="none"/>
              </w:rPr>
            </w:pPr>
          </w:p>
        </w:tc>
        <w:tc>
          <w:tcPr>
            <w:tcW w:w="974" w:type="dxa"/>
            <w:vMerge w:val="continue"/>
            <w:vAlign w:val="center"/>
          </w:tcPr>
          <w:p>
            <w:pPr>
              <w:widowControl/>
              <w:spacing w:line="320" w:lineRule="exact"/>
              <w:jc w:val="left"/>
              <w:rPr>
                <w:rFonts w:ascii="宋体"/>
                <w:color w:val="auto"/>
                <w:kern w:val="0"/>
                <w:highlight w:val="none"/>
                <w:u w:val="none"/>
              </w:rPr>
            </w:pPr>
          </w:p>
        </w:tc>
        <w:tc>
          <w:tcPr>
            <w:tcW w:w="4387" w:type="dxa"/>
            <w:vMerge w:val="continue"/>
            <w:vAlign w:val="center"/>
          </w:tcPr>
          <w:p>
            <w:pPr>
              <w:widowControl/>
              <w:spacing w:line="320" w:lineRule="exact"/>
              <w:jc w:val="left"/>
              <w:rPr>
                <w:rFonts w:ascii="宋体"/>
                <w:color w:val="auto"/>
                <w:kern w:val="0"/>
                <w:highlight w:val="none"/>
                <w:u w:val="none"/>
              </w:rPr>
            </w:pPr>
          </w:p>
        </w:tc>
        <w:tc>
          <w:tcPr>
            <w:tcW w:w="3392" w:type="dxa"/>
            <w:vMerge w:val="continue"/>
            <w:tcBorders>
              <w:bottom w:val="single" w:color="auto" w:sz="4" w:space="0"/>
            </w:tcBorders>
            <w:vAlign w:val="center"/>
          </w:tcPr>
          <w:p>
            <w:pPr>
              <w:widowControl/>
              <w:spacing w:line="320" w:lineRule="exact"/>
              <w:jc w:val="left"/>
              <w:rPr>
                <w:rFonts w:ascii="宋体"/>
                <w:color w:val="auto"/>
                <w:kern w:val="0"/>
                <w:highlight w:val="none"/>
                <w:u w:val="none"/>
              </w:rPr>
            </w:pPr>
          </w:p>
        </w:tc>
        <w:tc>
          <w:tcPr>
            <w:tcW w:w="1131" w:type="dxa"/>
            <w:tcBorders>
              <w:bottom w:val="single" w:color="auto" w:sz="4" w:space="0"/>
            </w:tcBorders>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严重</w:t>
            </w:r>
          </w:p>
        </w:tc>
        <w:tc>
          <w:tcPr>
            <w:tcW w:w="1445" w:type="dxa"/>
            <w:tcBorders>
              <w:bottom w:val="single" w:color="auto" w:sz="4" w:space="0"/>
            </w:tcBorders>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超过规定期限</w:t>
            </w:r>
            <w:r>
              <w:rPr>
                <w:rFonts w:ascii="宋体" w:hAnsi="宋体" w:cs="宋体"/>
                <w:color w:val="auto"/>
                <w:kern w:val="0"/>
                <w:highlight w:val="none"/>
                <w:u w:val="none"/>
              </w:rPr>
              <w:t>6</w:t>
            </w:r>
            <w:r>
              <w:rPr>
                <w:rFonts w:hint="eastAsia" w:ascii="宋体" w:hAnsi="宋体" w:cs="宋体"/>
                <w:color w:val="auto"/>
                <w:kern w:val="0"/>
                <w:highlight w:val="none"/>
                <w:u w:val="none"/>
              </w:rPr>
              <w:t>个月以上不补报的</w:t>
            </w:r>
          </w:p>
        </w:tc>
        <w:tc>
          <w:tcPr>
            <w:tcW w:w="1843" w:type="dxa"/>
            <w:tcBorders>
              <w:bottom w:val="single" w:color="auto" w:sz="4" w:space="0"/>
            </w:tcBorders>
            <w:vAlign w:val="center"/>
          </w:tcPr>
          <w:p>
            <w:pPr>
              <w:widowControl/>
              <w:spacing w:line="320" w:lineRule="exact"/>
              <w:jc w:val="left"/>
              <w:rPr>
                <w:rFonts w:ascii="宋体"/>
                <w:color w:val="auto"/>
                <w:kern w:val="0"/>
                <w:highlight w:val="none"/>
                <w:u w:val="none"/>
              </w:rPr>
            </w:pPr>
            <w:r>
              <w:rPr>
                <w:rFonts w:hint="eastAsia" w:ascii="宋体" w:hAnsi="宋体" w:cs="宋体"/>
                <w:color w:val="auto"/>
                <w:kern w:val="0"/>
                <w:highlight w:val="none"/>
                <w:u w:val="none"/>
              </w:rPr>
              <w:t>处三万元以上五万元以下罚款</w:t>
            </w:r>
          </w:p>
        </w:tc>
        <w:tc>
          <w:tcPr>
            <w:tcW w:w="984" w:type="dxa"/>
            <w:vAlign w:val="center"/>
          </w:tcPr>
          <w:p>
            <w:pPr>
              <w:widowControl/>
              <w:spacing w:line="320" w:lineRule="exact"/>
              <w:jc w:val="center"/>
              <w:rPr>
                <w:rFonts w:ascii="宋体"/>
                <w:color w:val="auto"/>
                <w:kern w:val="0"/>
                <w:highlight w:val="none"/>
                <w:u w:val="none"/>
              </w:rPr>
            </w:pPr>
            <w:r>
              <w:rPr>
                <w:rFonts w:hint="eastAsia" w:ascii="宋体" w:hAnsi="宋体" w:cs="宋体"/>
                <w:color w:val="auto"/>
                <w:kern w:val="0"/>
                <w:highlight w:val="none"/>
                <w:u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586" w:type="dxa"/>
            <w:vAlign w:val="center"/>
          </w:tcPr>
          <w:p>
            <w:pPr>
              <w:spacing w:line="300" w:lineRule="exact"/>
              <w:jc w:val="center"/>
              <w:rPr>
                <w:rFonts w:ascii="宋体" w:hAnsi="宋体" w:cs="宋体"/>
                <w:color w:val="auto"/>
                <w:kern w:val="0"/>
                <w:highlight w:val="none"/>
                <w:u w:val="none"/>
              </w:rPr>
            </w:pPr>
            <w:r>
              <w:rPr>
                <w:rFonts w:ascii="宋体" w:hAnsi="宋体" w:cs="宋体"/>
                <w:color w:val="auto"/>
                <w:kern w:val="0"/>
                <w:highlight w:val="none"/>
                <w:u w:val="none"/>
              </w:rPr>
              <w:t>12</w:t>
            </w:r>
          </w:p>
        </w:tc>
        <w:tc>
          <w:tcPr>
            <w:tcW w:w="974" w:type="dxa"/>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未取得乡村建设规划许可证进行建设</w:t>
            </w:r>
          </w:p>
        </w:tc>
        <w:tc>
          <w:tcPr>
            <w:tcW w:w="4387" w:type="dxa"/>
            <w:tcBorders>
              <w:right w:val="single" w:color="auto" w:sz="4" w:space="0"/>
            </w:tcBorders>
            <w:vAlign w:val="center"/>
          </w:tcPr>
          <w:p>
            <w:pPr>
              <w:rPr>
                <w:highlight w:val="none"/>
              </w:rPr>
            </w:pPr>
            <w:r>
              <w:rPr>
                <w:rFonts w:hint="eastAsia"/>
                <w:highlight w:val="none"/>
              </w:rPr>
              <w:t>《中华人民共和国城乡规划法》 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rPr>
                <w:highlight w:val="none"/>
              </w:rPr>
            </w:pPr>
            <w:r>
              <w:rPr>
                <w:rFonts w:hint="eastAsia"/>
                <w:highlight w:val="none"/>
              </w:rPr>
              <w:t>   </w:t>
            </w:r>
            <w:r>
              <w:rPr>
                <w:rFonts w:hint="eastAsia"/>
                <w:highlight w:val="none"/>
                <w:lang w:val="en-US" w:eastAsia="zh-CN"/>
              </w:rPr>
              <w:t xml:space="preserve"> </w:t>
            </w:r>
            <w:r>
              <w:rPr>
                <w:rFonts w:hint="eastAsia"/>
                <w:highlight w:val="none"/>
              </w:rPr>
              <w:t> 在乡、村庄规划区内使用原有宅基地进行农村村民住宅建设的规划管理办法，由省、自治区、直辖市制定。</w:t>
            </w:r>
          </w:p>
          <w:p>
            <w:pPr>
              <w:ind w:firstLine="420" w:firstLineChars="200"/>
              <w:rPr>
                <w:rFonts w:hint="eastAsia"/>
                <w:highlight w:val="none"/>
              </w:rPr>
            </w:pPr>
            <w:r>
              <w:rPr>
                <w:rFonts w:hint="eastAsia"/>
                <w:highlight w:val="none"/>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ind w:firstLine="420" w:firstLineChars="200"/>
              <w:rPr>
                <w:highlight w:val="none"/>
              </w:rPr>
            </w:pPr>
            <w:r>
              <w:rPr>
                <w:rFonts w:hint="eastAsia"/>
                <w:highlight w:val="none"/>
              </w:rPr>
              <w:t>建设单位或者个人在取得乡村建设规划许可证后，方可办理用地审批手续。</w:t>
            </w:r>
          </w:p>
          <w:p>
            <w:pPr>
              <w:spacing w:line="300" w:lineRule="exact"/>
              <w:jc w:val="left"/>
              <w:rPr>
                <w:rFonts w:hint="eastAsia" w:ascii="宋体" w:hAnsi="宋体" w:cs="宋体"/>
                <w:color w:val="auto"/>
                <w:kern w:val="0"/>
                <w:highlight w:val="none"/>
                <w:u w:val="none"/>
              </w:rPr>
            </w:pPr>
          </w:p>
        </w:tc>
        <w:tc>
          <w:tcPr>
            <w:tcW w:w="3392" w:type="dxa"/>
            <w:tcBorders>
              <w:top w:val="single" w:color="auto" w:sz="4" w:space="0"/>
              <w:left w:val="single" w:color="auto" w:sz="4" w:space="0"/>
              <w:bottom w:val="single" w:color="auto" w:sz="4" w:space="0"/>
            </w:tcBorders>
            <w:vAlign w:val="center"/>
          </w:tcPr>
          <w:p>
            <w:pPr>
              <w:spacing w:line="300" w:lineRule="exact"/>
              <w:jc w:val="left"/>
              <w:rPr>
                <w:rFonts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《中华人民共和国城乡规划法》第六十五条 在乡、村规划区内未依法取得乡村建设规划许可证或者未按照乡村建设规划许可证的规定进行建设的，由乡、镇人民政府责令停止建设、限期改正；逾期不改正的，可以拆除。</w:t>
            </w:r>
          </w:p>
        </w:tc>
        <w:tc>
          <w:tcPr>
            <w:tcW w:w="1131" w:type="dxa"/>
            <w:tcBorders>
              <w:top w:val="single" w:color="auto" w:sz="4" w:space="0"/>
              <w:bottom w:val="single" w:color="auto" w:sz="4" w:space="0"/>
              <w:right w:val="single" w:color="auto" w:sz="4" w:space="0"/>
            </w:tcBorders>
            <w:vAlign w:val="center"/>
          </w:tcPr>
          <w:p>
            <w:pPr>
              <w:widowControl/>
              <w:jc w:val="left"/>
              <w:rPr>
                <w:rFonts w:ascii="宋体" w:hAnsi="宋体" w:cs="宋体"/>
                <w:color w:val="auto"/>
                <w:spacing w:val="-6"/>
                <w:kern w:val="0"/>
                <w:highlight w:val="none"/>
                <w:u w:val="none"/>
              </w:rPr>
            </w:pPr>
          </w:p>
        </w:tc>
        <w:tc>
          <w:tcPr>
            <w:tcW w:w="1445" w:type="dxa"/>
            <w:tcBorders>
              <w:left w:val="single" w:color="auto" w:sz="4" w:space="0"/>
            </w:tcBorders>
            <w:vAlign w:val="center"/>
          </w:tcPr>
          <w:p>
            <w:pPr>
              <w:widowControl/>
              <w:jc w:val="left"/>
              <w:rPr>
                <w:rFonts w:ascii="宋体" w:hAnsi="宋体" w:cs="宋体"/>
                <w:color w:val="auto"/>
                <w:spacing w:val="-6"/>
                <w:kern w:val="0"/>
                <w:highlight w:val="none"/>
                <w:u w:val="none"/>
              </w:rPr>
            </w:pPr>
            <w:r>
              <w:rPr>
                <w:rFonts w:hint="eastAsia" w:ascii="宋体" w:hAnsi="宋体" w:cs="宋体"/>
                <w:color w:val="auto"/>
                <w:kern w:val="0"/>
                <w:highlight w:val="none"/>
                <w:u w:val="none"/>
              </w:rPr>
              <w:t>在乡、村规划区内未依法取得乡村建设规划许可证或者未按照乡村建设规划许可证的规定进行建设的</w:t>
            </w:r>
          </w:p>
        </w:tc>
        <w:tc>
          <w:tcPr>
            <w:tcW w:w="1843" w:type="dxa"/>
            <w:tcBorders>
              <w:top w:val="single" w:color="auto" w:sz="4" w:space="0"/>
              <w:bottom w:val="single" w:color="auto" w:sz="4" w:space="0"/>
              <w:right w:val="single" w:color="auto" w:sz="4" w:space="0"/>
            </w:tcBorders>
            <w:vAlign w:val="center"/>
          </w:tcPr>
          <w:p>
            <w:pPr>
              <w:widowControl/>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责令停止建设、限期改正；逾期不改正的，可以拆除。</w:t>
            </w:r>
          </w:p>
        </w:tc>
        <w:tc>
          <w:tcPr>
            <w:tcW w:w="984" w:type="dxa"/>
            <w:tcBorders>
              <w:top w:val="single" w:color="auto" w:sz="4" w:space="0"/>
              <w:bottom w:val="single" w:color="auto" w:sz="4" w:space="0"/>
              <w:right w:val="single" w:color="auto" w:sz="4" w:space="0"/>
            </w:tcBorders>
            <w:vAlign w:val="center"/>
          </w:tcPr>
          <w:p>
            <w:pPr>
              <w:widowControl/>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此项处罚不涉及裁量权基准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3" w:hRule="atLeast"/>
          <w:jc w:val="center"/>
        </w:trPr>
        <w:tc>
          <w:tcPr>
            <w:tcW w:w="586" w:type="dxa"/>
            <w:vAlign w:val="center"/>
          </w:tcPr>
          <w:p>
            <w:pPr>
              <w:spacing w:line="300" w:lineRule="exact"/>
              <w:jc w:val="center"/>
              <w:rPr>
                <w:rFonts w:hint="default" w:ascii="宋体" w:hAnsi="宋体" w:eastAsia="宋体" w:cs="宋体"/>
                <w:color w:val="auto"/>
                <w:kern w:val="0"/>
                <w:highlight w:val="none"/>
                <w:u w:val="none"/>
                <w:lang w:val="en-US" w:eastAsia="zh-CN"/>
              </w:rPr>
            </w:pPr>
            <w:r>
              <w:rPr>
                <w:rFonts w:hint="eastAsia" w:ascii="宋体" w:hAnsi="宋体" w:cs="宋体"/>
                <w:color w:val="auto"/>
                <w:kern w:val="0"/>
                <w:highlight w:val="none"/>
                <w:u w:val="none"/>
                <w:lang w:val="en-US" w:eastAsia="zh-CN"/>
              </w:rPr>
              <w:t>13</w:t>
            </w:r>
          </w:p>
        </w:tc>
        <w:tc>
          <w:tcPr>
            <w:tcW w:w="974" w:type="dxa"/>
            <w:vAlign w:val="center"/>
          </w:tcPr>
          <w:p>
            <w:pPr>
              <w:spacing w:line="300" w:lineRule="exact"/>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未按照乡村规划许可证进行建设</w:t>
            </w:r>
          </w:p>
        </w:tc>
        <w:tc>
          <w:tcPr>
            <w:tcW w:w="4387" w:type="dxa"/>
            <w:vAlign w:val="center"/>
          </w:tcPr>
          <w:p>
            <w:pPr>
              <w:rPr>
                <w:rFonts w:hint="eastAsia"/>
                <w:highlight w:val="none"/>
                <w:lang w:val="en-US" w:eastAsia="zh-CN"/>
              </w:rPr>
            </w:pPr>
            <w:r>
              <w:rPr>
                <w:rFonts w:hint="eastAsia"/>
                <w:highlight w:val="none"/>
                <w:lang w:val="en-US" w:eastAsia="zh-CN"/>
              </w:rPr>
              <w:t>《中华人民共和国城乡规划法》第四十三条　建设单位应当按照规划条件进行建设；确需变更的，必须向城市、县人民政府城乡规划主管部门提出申请。变更内容不符合控制性详细规划的，城乡规划主管部门不得批准。城市、县人民政府城乡规划主管部门应当及时将依法变更后的规划条件通报同级土地主管部门并公示。</w:t>
            </w:r>
          </w:p>
          <w:p>
            <w:pPr>
              <w:rPr>
                <w:rFonts w:hint="eastAsia"/>
                <w:highlight w:val="none"/>
                <w:lang w:val="en-US" w:eastAsia="zh-CN"/>
              </w:rPr>
            </w:pPr>
            <w:r>
              <w:rPr>
                <w:rFonts w:hint="eastAsia"/>
                <w:highlight w:val="none"/>
                <w:lang w:val="en-US" w:eastAsia="zh-CN"/>
              </w:rPr>
              <w:t>    建设单位应当及时将依法变更后的规划条件报有关人民政府土地主管部门备案。</w:t>
            </w:r>
          </w:p>
          <w:p>
            <w:pPr>
              <w:rPr>
                <w:rFonts w:hint="eastAsia"/>
                <w:highlight w:val="none"/>
                <w:lang w:val="en-US" w:eastAsia="zh-CN"/>
              </w:rPr>
            </w:pPr>
          </w:p>
          <w:p>
            <w:pPr>
              <w:rPr>
                <w:rFonts w:hint="eastAsia"/>
                <w:highlight w:val="none"/>
              </w:rPr>
            </w:pPr>
          </w:p>
        </w:tc>
        <w:tc>
          <w:tcPr>
            <w:tcW w:w="3392" w:type="dxa"/>
            <w:tcBorders>
              <w:top w:val="single" w:color="auto" w:sz="4" w:space="0"/>
            </w:tcBorders>
            <w:vAlign w:val="center"/>
          </w:tcPr>
          <w:p>
            <w:pPr>
              <w:spacing w:line="300" w:lineRule="exact"/>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《中华人民共和国城乡规划法》第六十五条 在乡、村规划区内未依法取得乡村建设规划许可证或者未按照乡村建设规划许可证的规定进行建设的，由乡、镇人民政府责令停止建设、限期改正；逾期不改正的，可以拆除。</w:t>
            </w:r>
          </w:p>
        </w:tc>
        <w:tc>
          <w:tcPr>
            <w:tcW w:w="1131" w:type="dxa"/>
            <w:tcBorders>
              <w:top w:val="single" w:color="auto" w:sz="4" w:space="0"/>
            </w:tcBorders>
            <w:vAlign w:val="center"/>
          </w:tcPr>
          <w:p>
            <w:pPr>
              <w:widowControl/>
              <w:jc w:val="left"/>
              <w:rPr>
                <w:rFonts w:ascii="宋体" w:hAnsi="宋体" w:cs="宋体"/>
                <w:color w:val="auto"/>
                <w:spacing w:val="-6"/>
                <w:kern w:val="0"/>
                <w:highlight w:val="none"/>
                <w:u w:val="none"/>
              </w:rPr>
            </w:pPr>
          </w:p>
        </w:tc>
        <w:tc>
          <w:tcPr>
            <w:tcW w:w="1445" w:type="dxa"/>
            <w:vAlign w:val="center"/>
          </w:tcPr>
          <w:p>
            <w:pPr>
              <w:widowControl/>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在乡、村规划区内未依法取得乡村建设规划许可证或者未按照乡村建设规划许可证的规定进行建设的</w:t>
            </w:r>
          </w:p>
        </w:tc>
        <w:tc>
          <w:tcPr>
            <w:tcW w:w="1843" w:type="dxa"/>
            <w:tcBorders>
              <w:top w:val="single" w:color="auto" w:sz="4" w:space="0"/>
            </w:tcBorders>
            <w:vAlign w:val="center"/>
          </w:tcPr>
          <w:p>
            <w:pPr>
              <w:widowControl/>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责令停止建设、限期改正；逾期不改正的，可以拆除。</w:t>
            </w:r>
          </w:p>
        </w:tc>
        <w:tc>
          <w:tcPr>
            <w:tcW w:w="984" w:type="dxa"/>
            <w:tcBorders>
              <w:top w:val="single" w:color="auto" w:sz="4" w:space="0"/>
            </w:tcBorders>
            <w:vAlign w:val="center"/>
          </w:tcPr>
          <w:p>
            <w:pPr>
              <w:widowControl/>
              <w:jc w:val="left"/>
              <w:rPr>
                <w:rFonts w:hint="eastAsia" w:ascii="宋体" w:hAnsi="宋体" w:cs="宋体"/>
                <w:color w:val="auto"/>
                <w:kern w:val="0"/>
                <w:highlight w:val="none"/>
                <w:u w:val="none"/>
              </w:rPr>
            </w:pPr>
            <w:r>
              <w:rPr>
                <w:rFonts w:hint="eastAsia" w:ascii="宋体" w:hAnsi="宋体" w:cs="宋体"/>
                <w:color w:val="auto"/>
                <w:kern w:val="0"/>
                <w:highlight w:val="none"/>
                <w:u w:val="none"/>
              </w:rPr>
              <w:t>　此项处罚不涉及裁量权基准</w:t>
            </w:r>
          </w:p>
        </w:tc>
      </w:tr>
    </w:tbl>
    <w:p>
      <w:pPr>
        <w:rPr>
          <w:highlight w:val="none"/>
        </w:rPr>
      </w:pPr>
    </w:p>
    <w:sectPr>
      <w:footerReference r:id="rId3" w:type="default"/>
      <w:pgSz w:w="16839" w:h="11907" w:orient="landscape"/>
      <w:pgMar w:top="1531" w:right="1588" w:bottom="153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uto"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7</w:t>
    </w:r>
    <w:r>
      <w:rPr>
        <w:rStyle w:val="13"/>
      </w:rP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EzN2ZkZmIxZmJmODQ4OTNjYTBhOThiYjQ1YjM3ZjcifQ=="/>
  </w:docVars>
  <w:rsids>
    <w:rsidRoot w:val="005D4F1E"/>
    <w:rsid w:val="0000356E"/>
    <w:rsid w:val="000304CA"/>
    <w:rsid w:val="00032369"/>
    <w:rsid w:val="00040004"/>
    <w:rsid w:val="00042D37"/>
    <w:rsid w:val="00047C1B"/>
    <w:rsid w:val="00076B37"/>
    <w:rsid w:val="000847B1"/>
    <w:rsid w:val="00090816"/>
    <w:rsid w:val="00096A08"/>
    <w:rsid w:val="000A2CCE"/>
    <w:rsid w:val="000A3735"/>
    <w:rsid w:val="000A7401"/>
    <w:rsid w:val="000E60EC"/>
    <w:rsid w:val="000F11F8"/>
    <w:rsid w:val="00102FAD"/>
    <w:rsid w:val="00134C08"/>
    <w:rsid w:val="0014030D"/>
    <w:rsid w:val="00162050"/>
    <w:rsid w:val="0017510C"/>
    <w:rsid w:val="00177968"/>
    <w:rsid w:val="00192CDD"/>
    <w:rsid w:val="001C19E1"/>
    <w:rsid w:val="001C1CA2"/>
    <w:rsid w:val="001C5923"/>
    <w:rsid w:val="001D16DE"/>
    <w:rsid w:val="001D6D36"/>
    <w:rsid w:val="001E45D9"/>
    <w:rsid w:val="001F7C31"/>
    <w:rsid w:val="00200C53"/>
    <w:rsid w:val="002265EE"/>
    <w:rsid w:val="00234878"/>
    <w:rsid w:val="002360F1"/>
    <w:rsid w:val="00264206"/>
    <w:rsid w:val="0027784B"/>
    <w:rsid w:val="002D1784"/>
    <w:rsid w:val="002D33D1"/>
    <w:rsid w:val="002D3CFE"/>
    <w:rsid w:val="002D58DF"/>
    <w:rsid w:val="002E0DDC"/>
    <w:rsid w:val="002F22FF"/>
    <w:rsid w:val="002F52BC"/>
    <w:rsid w:val="002F62DB"/>
    <w:rsid w:val="00312081"/>
    <w:rsid w:val="00335AD4"/>
    <w:rsid w:val="003930E4"/>
    <w:rsid w:val="003A1CD1"/>
    <w:rsid w:val="003B1405"/>
    <w:rsid w:val="003B2408"/>
    <w:rsid w:val="003B378F"/>
    <w:rsid w:val="003D73DE"/>
    <w:rsid w:val="003E2268"/>
    <w:rsid w:val="003F283F"/>
    <w:rsid w:val="003F4A4A"/>
    <w:rsid w:val="00402F02"/>
    <w:rsid w:val="004135D6"/>
    <w:rsid w:val="0042319B"/>
    <w:rsid w:val="0044398A"/>
    <w:rsid w:val="00462C00"/>
    <w:rsid w:val="00473D26"/>
    <w:rsid w:val="004A4C89"/>
    <w:rsid w:val="004B311B"/>
    <w:rsid w:val="004D2AA5"/>
    <w:rsid w:val="004E36AC"/>
    <w:rsid w:val="004E6360"/>
    <w:rsid w:val="004F26CF"/>
    <w:rsid w:val="004F53A5"/>
    <w:rsid w:val="00525060"/>
    <w:rsid w:val="005254D6"/>
    <w:rsid w:val="00536077"/>
    <w:rsid w:val="00545733"/>
    <w:rsid w:val="0055435D"/>
    <w:rsid w:val="0055457E"/>
    <w:rsid w:val="00555A33"/>
    <w:rsid w:val="00556C12"/>
    <w:rsid w:val="00592B15"/>
    <w:rsid w:val="0059797C"/>
    <w:rsid w:val="005A5300"/>
    <w:rsid w:val="005B454A"/>
    <w:rsid w:val="005C65D3"/>
    <w:rsid w:val="005D00D3"/>
    <w:rsid w:val="005D1DFB"/>
    <w:rsid w:val="005D4F1E"/>
    <w:rsid w:val="005E49B7"/>
    <w:rsid w:val="006149A3"/>
    <w:rsid w:val="006207A4"/>
    <w:rsid w:val="006209EF"/>
    <w:rsid w:val="0062790C"/>
    <w:rsid w:val="00633344"/>
    <w:rsid w:val="00663131"/>
    <w:rsid w:val="00663188"/>
    <w:rsid w:val="0067787C"/>
    <w:rsid w:val="006913CF"/>
    <w:rsid w:val="00692A5C"/>
    <w:rsid w:val="00697966"/>
    <w:rsid w:val="006A7621"/>
    <w:rsid w:val="006B1053"/>
    <w:rsid w:val="006B200A"/>
    <w:rsid w:val="006B368F"/>
    <w:rsid w:val="006B420D"/>
    <w:rsid w:val="006B77B6"/>
    <w:rsid w:val="006C002C"/>
    <w:rsid w:val="006C2578"/>
    <w:rsid w:val="00715E5E"/>
    <w:rsid w:val="00726D62"/>
    <w:rsid w:val="00747F22"/>
    <w:rsid w:val="0075457E"/>
    <w:rsid w:val="00755BE1"/>
    <w:rsid w:val="00762B98"/>
    <w:rsid w:val="00774E14"/>
    <w:rsid w:val="0077648D"/>
    <w:rsid w:val="00793851"/>
    <w:rsid w:val="007A6CE2"/>
    <w:rsid w:val="007B50B6"/>
    <w:rsid w:val="007C7FA8"/>
    <w:rsid w:val="007E30D0"/>
    <w:rsid w:val="007F5C8B"/>
    <w:rsid w:val="00817E3D"/>
    <w:rsid w:val="00851CE0"/>
    <w:rsid w:val="008565AB"/>
    <w:rsid w:val="008741D4"/>
    <w:rsid w:val="008760DF"/>
    <w:rsid w:val="00882004"/>
    <w:rsid w:val="00883CB0"/>
    <w:rsid w:val="008D04D2"/>
    <w:rsid w:val="008D15BB"/>
    <w:rsid w:val="008E5506"/>
    <w:rsid w:val="008E7D19"/>
    <w:rsid w:val="008F6CE9"/>
    <w:rsid w:val="0090648D"/>
    <w:rsid w:val="0090799E"/>
    <w:rsid w:val="00913F19"/>
    <w:rsid w:val="00915F1C"/>
    <w:rsid w:val="009166E0"/>
    <w:rsid w:val="00917238"/>
    <w:rsid w:val="00926D67"/>
    <w:rsid w:val="00953DED"/>
    <w:rsid w:val="00962172"/>
    <w:rsid w:val="00962CF7"/>
    <w:rsid w:val="009A5C98"/>
    <w:rsid w:val="009C1F8E"/>
    <w:rsid w:val="009C3085"/>
    <w:rsid w:val="009D2462"/>
    <w:rsid w:val="009D7406"/>
    <w:rsid w:val="009E1C6B"/>
    <w:rsid w:val="009E4164"/>
    <w:rsid w:val="00A420F9"/>
    <w:rsid w:val="00A61488"/>
    <w:rsid w:val="00A63E9E"/>
    <w:rsid w:val="00A64E9B"/>
    <w:rsid w:val="00A770C5"/>
    <w:rsid w:val="00A97636"/>
    <w:rsid w:val="00AB2B3C"/>
    <w:rsid w:val="00AC50A2"/>
    <w:rsid w:val="00AE7D0B"/>
    <w:rsid w:val="00AF088D"/>
    <w:rsid w:val="00AF180D"/>
    <w:rsid w:val="00B1108E"/>
    <w:rsid w:val="00B20201"/>
    <w:rsid w:val="00B45892"/>
    <w:rsid w:val="00B671E7"/>
    <w:rsid w:val="00B7376B"/>
    <w:rsid w:val="00B75038"/>
    <w:rsid w:val="00B81680"/>
    <w:rsid w:val="00BA3700"/>
    <w:rsid w:val="00BA4A88"/>
    <w:rsid w:val="00BB209D"/>
    <w:rsid w:val="00BB2A34"/>
    <w:rsid w:val="00BB3A55"/>
    <w:rsid w:val="00BC5835"/>
    <w:rsid w:val="00BC631E"/>
    <w:rsid w:val="00BD02C5"/>
    <w:rsid w:val="00BD0749"/>
    <w:rsid w:val="00BF0EB6"/>
    <w:rsid w:val="00C254F8"/>
    <w:rsid w:val="00C278A2"/>
    <w:rsid w:val="00C30327"/>
    <w:rsid w:val="00C34B68"/>
    <w:rsid w:val="00C505FE"/>
    <w:rsid w:val="00C57746"/>
    <w:rsid w:val="00C70AE3"/>
    <w:rsid w:val="00C8079B"/>
    <w:rsid w:val="00C96E19"/>
    <w:rsid w:val="00CC406B"/>
    <w:rsid w:val="00CD017B"/>
    <w:rsid w:val="00CE2E17"/>
    <w:rsid w:val="00D0088D"/>
    <w:rsid w:val="00D1355F"/>
    <w:rsid w:val="00D16BD1"/>
    <w:rsid w:val="00D2257A"/>
    <w:rsid w:val="00D3217D"/>
    <w:rsid w:val="00D425C8"/>
    <w:rsid w:val="00D5526C"/>
    <w:rsid w:val="00D5553A"/>
    <w:rsid w:val="00D7076D"/>
    <w:rsid w:val="00D831F4"/>
    <w:rsid w:val="00DB6710"/>
    <w:rsid w:val="00DC32D3"/>
    <w:rsid w:val="00DD38C0"/>
    <w:rsid w:val="00DE3107"/>
    <w:rsid w:val="00E03C22"/>
    <w:rsid w:val="00E06103"/>
    <w:rsid w:val="00E13D4C"/>
    <w:rsid w:val="00E238EB"/>
    <w:rsid w:val="00E4375A"/>
    <w:rsid w:val="00E73E97"/>
    <w:rsid w:val="00E740D2"/>
    <w:rsid w:val="00E77D57"/>
    <w:rsid w:val="00E85C30"/>
    <w:rsid w:val="00EA0530"/>
    <w:rsid w:val="00EB548F"/>
    <w:rsid w:val="00EF2405"/>
    <w:rsid w:val="00F10D4A"/>
    <w:rsid w:val="00F1198C"/>
    <w:rsid w:val="00F158D7"/>
    <w:rsid w:val="00F414FB"/>
    <w:rsid w:val="00F8046D"/>
    <w:rsid w:val="00F8123A"/>
    <w:rsid w:val="00F87A79"/>
    <w:rsid w:val="00FB4389"/>
    <w:rsid w:val="00FE11C8"/>
    <w:rsid w:val="00FE3A89"/>
    <w:rsid w:val="00FF6AA8"/>
    <w:rsid w:val="3A281E13"/>
    <w:rsid w:val="3B7F77A7"/>
    <w:rsid w:val="3BEFF0C0"/>
    <w:rsid w:val="3DEF12E5"/>
    <w:rsid w:val="3DF9EA69"/>
    <w:rsid w:val="55FFE6DB"/>
    <w:rsid w:val="57DED908"/>
    <w:rsid w:val="57EE2BFB"/>
    <w:rsid w:val="5FBBAED4"/>
    <w:rsid w:val="6A7D5322"/>
    <w:rsid w:val="6ECF3E65"/>
    <w:rsid w:val="75ABC927"/>
    <w:rsid w:val="7BBFB270"/>
    <w:rsid w:val="7DB5F4CE"/>
    <w:rsid w:val="7E7B23DB"/>
    <w:rsid w:val="84F54532"/>
    <w:rsid w:val="92BF2D7A"/>
    <w:rsid w:val="B8EC7D9E"/>
    <w:rsid w:val="BAFC02BB"/>
    <w:rsid w:val="BF7D7B74"/>
    <w:rsid w:val="BFFAB1CA"/>
    <w:rsid w:val="DDE6C5CB"/>
    <w:rsid w:val="E6CD44E6"/>
    <w:rsid w:val="E97FCECC"/>
    <w:rsid w:val="ECBFAD75"/>
    <w:rsid w:val="EFEDC8AC"/>
    <w:rsid w:val="F6DF48EB"/>
    <w:rsid w:val="F7E7E999"/>
    <w:rsid w:val="FDFBB8D9"/>
    <w:rsid w:val="FFDAF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6"/>
    <w:qFormat/>
    <w:uiPriority w:val="99"/>
    <w:pPr>
      <w:keepNext/>
      <w:keepLines/>
      <w:spacing w:before="340" w:after="330" w:line="578" w:lineRule="auto"/>
      <w:ind w:left="360" w:hanging="360"/>
      <w:outlineLvl w:val="0"/>
    </w:pPr>
    <w:rPr>
      <w:b/>
      <w:bCs/>
      <w:kern w:val="44"/>
      <w:sz w:val="44"/>
      <w:szCs w:val="44"/>
    </w:rPr>
  </w:style>
  <w:style w:type="paragraph" w:styleId="3">
    <w:name w:val="heading 2"/>
    <w:basedOn w:val="1"/>
    <w:next w:val="1"/>
    <w:link w:val="17"/>
    <w:qFormat/>
    <w:uiPriority w:val="99"/>
    <w:pPr>
      <w:keepNext/>
      <w:keepLines/>
      <w:spacing w:before="260" w:after="260" w:line="415" w:lineRule="auto"/>
      <w:outlineLvl w:val="1"/>
    </w:pPr>
    <w:rPr>
      <w:rFonts w:ascii="Arial" w:hAnsi="Arial" w:eastAsia="黑体" w:cs="Arial"/>
      <w:b/>
      <w:bCs/>
      <w:sz w:val="32"/>
      <w:szCs w:val="32"/>
    </w:rPr>
  </w:style>
  <w:style w:type="paragraph" w:styleId="4">
    <w:name w:val="heading 3"/>
    <w:basedOn w:val="1"/>
    <w:next w:val="1"/>
    <w:link w:val="18"/>
    <w:qFormat/>
    <w:uiPriority w:val="99"/>
    <w:pPr>
      <w:keepNext/>
      <w:keepLines/>
      <w:spacing w:before="260" w:after="260" w:line="415"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Plain Text"/>
    <w:basedOn w:val="1"/>
    <w:link w:val="19"/>
    <w:qFormat/>
    <w:uiPriority w:val="99"/>
    <w:rPr>
      <w:rFonts w:ascii="宋体" w:cs="宋体"/>
    </w:rPr>
  </w:style>
  <w:style w:type="paragraph" w:styleId="6">
    <w:name w:val="Date"/>
    <w:basedOn w:val="1"/>
    <w:next w:val="1"/>
    <w:link w:val="20"/>
    <w:qFormat/>
    <w:uiPriority w:val="99"/>
    <w:pPr>
      <w:ind w:left="100" w:leftChars="2500"/>
    </w:pPr>
  </w:style>
  <w:style w:type="paragraph" w:styleId="7">
    <w:name w:val="Balloon Text"/>
    <w:basedOn w:val="1"/>
    <w:link w:val="21"/>
    <w:semiHidden/>
    <w:qFormat/>
    <w:uiPriority w:val="99"/>
    <w:rPr>
      <w:sz w:val="18"/>
      <w:szCs w:val="18"/>
    </w:rPr>
  </w:style>
  <w:style w:type="paragraph" w:styleId="8">
    <w:name w:val="footer"/>
    <w:basedOn w:val="1"/>
    <w:link w:val="2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page number"/>
    <w:basedOn w:val="12"/>
    <w:qFormat/>
    <w:uiPriority w:val="99"/>
  </w:style>
  <w:style w:type="character" w:styleId="14">
    <w:name w:val="FollowedHyperlink"/>
    <w:basedOn w:val="12"/>
    <w:qFormat/>
    <w:uiPriority w:val="99"/>
    <w:rPr>
      <w:color w:val="800080"/>
      <w:u w:val="single"/>
    </w:rPr>
  </w:style>
  <w:style w:type="character" w:styleId="15">
    <w:name w:val="Hyperlink"/>
    <w:basedOn w:val="12"/>
    <w:qFormat/>
    <w:uiPriority w:val="99"/>
    <w:rPr>
      <w:color w:val="0000FF"/>
      <w:u w:val="single"/>
    </w:rPr>
  </w:style>
  <w:style w:type="character" w:customStyle="1" w:styleId="16">
    <w:name w:val="标题 1 Char"/>
    <w:basedOn w:val="12"/>
    <w:link w:val="2"/>
    <w:qFormat/>
    <w:locked/>
    <w:uiPriority w:val="99"/>
    <w:rPr>
      <w:rFonts w:ascii="Times New Roman" w:hAnsi="Times New Roman"/>
      <w:b/>
      <w:bCs/>
      <w:kern w:val="44"/>
      <w:sz w:val="44"/>
      <w:szCs w:val="44"/>
    </w:rPr>
  </w:style>
  <w:style w:type="character" w:customStyle="1" w:styleId="17">
    <w:name w:val="标题 2 Char"/>
    <w:basedOn w:val="12"/>
    <w:link w:val="3"/>
    <w:qFormat/>
    <w:locked/>
    <w:uiPriority w:val="99"/>
    <w:rPr>
      <w:rFonts w:ascii="Arial" w:hAnsi="Arial" w:eastAsia="黑体" w:cs="Arial"/>
      <w:b/>
      <w:bCs/>
      <w:sz w:val="24"/>
      <w:szCs w:val="24"/>
    </w:rPr>
  </w:style>
  <w:style w:type="character" w:customStyle="1" w:styleId="18">
    <w:name w:val="标题 3 Char"/>
    <w:basedOn w:val="12"/>
    <w:link w:val="4"/>
    <w:qFormat/>
    <w:locked/>
    <w:uiPriority w:val="99"/>
    <w:rPr>
      <w:rFonts w:ascii="Times New Roman" w:hAnsi="Times New Roman" w:eastAsia="宋体" w:cs="Times New Roman"/>
      <w:b/>
      <w:bCs/>
      <w:sz w:val="24"/>
      <w:szCs w:val="24"/>
    </w:rPr>
  </w:style>
  <w:style w:type="character" w:customStyle="1" w:styleId="19">
    <w:name w:val="纯文本 Char"/>
    <w:basedOn w:val="12"/>
    <w:link w:val="5"/>
    <w:qFormat/>
    <w:locked/>
    <w:uiPriority w:val="99"/>
    <w:rPr>
      <w:rFonts w:ascii="宋体" w:hAnsi="Times New Roman" w:eastAsia="宋体" w:cs="宋体"/>
      <w:kern w:val="2"/>
      <w:sz w:val="21"/>
      <w:szCs w:val="21"/>
      <w:lang w:val="en-US" w:eastAsia="zh-CN"/>
    </w:rPr>
  </w:style>
  <w:style w:type="character" w:customStyle="1" w:styleId="20">
    <w:name w:val="日期 Char"/>
    <w:basedOn w:val="12"/>
    <w:link w:val="6"/>
    <w:qFormat/>
    <w:locked/>
    <w:uiPriority w:val="99"/>
    <w:rPr>
      <w:rFonts w:ascii="Times New Roman" w:hAnsi="Times New Roman" w:eastAsia="宋体" w:cs="Times New Roman"/>
      <w:sz w:val="24"/>
      <w:szCs w:val="24"/>
    </w:rPr>
  </w:style>
  <w:style w:type="character" w:customStyle="1" w:styleId="21">
    <w:name w:val="批注框文本 Char"/>
    <w:basedOn w:val="12"/>
    <w:link w:val="7"/>
    <w:qFormat/>
    <w:locked/>
    <w:uiPriority w:val="99"/>
    <w:rPr>
      <w:rFonts w:ascii="Times New Roman" w:hAnsi="Times New Roman" w:eastAsia="宋体" w:cs="Times New Roman"/>
      <w:sz w:val="18"/>
      <w:szCs w:val="18"/>
    </w:rPr>
  </w:style>
  <w:style w:type="character" w:customStyle="1" w:styleId="22">
    <w:name w:val="页脚 Char"/>
    <w:basedOn w:val="12"/>
    <w:link w:val="8"/>
    <w:qFormat/>
    <w:locked/>
    <w:uiPriority w:val="99"/>
    <w:rPr>
      <w:rFonts w:ascii="Times New Roman" w:hAnsi="Times New Roman" w:eastAsia="宋体" w:cs="Times New Roman"/>
      <w:sz w:val="18"/>
      <w:szCs w:val="18"/>
    </w:rPr>
  </w:style>
  <w:style w:type="character" w:customStyle="1" w:styleId="23">
    <w:name w:val="页眉 Char"/>
    <w:basedOn w:val="12"/>
    <w:link w:val="9"/>
    <w:qFormat/>
    <w:locked/>
    <w:uiPriority w:val="99"/>
    <w:rPr>
      <w:rFonts w:ascii="Times New Roman" w:hAnsi="Times New Roman" w:eastAsia="宋体" w:cs="Times New Roman"/>
      <w:sz w:val="18"/>
      <w:szCs w:val="18"/>
    </w:rPr>
  </w:style>
  <w:style w:type="paragraph" w:customStyle="1" w:styleId="24">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25">
    <w:name w:val="font6"/>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customStyle="1" w:styleId="26">
    <w:name w:val="font7"/>
    <w:basedOn w:val="1"/>
    <w:qFormat/>
    <w:uiPriority w:val="99"/>
    <w:pPr>
      <w:widowControl/>
      <w:spacing w:before="100" w:beforeAutospacing="1" w:after="100" w:afterAutospacing="1"/>
      <w:jc w:val="left"/>
    </w:pPr>
    <w:rPr>
      <w:rFonts w:ascii="宋体" w:hAnsi="宋体" w:cs="宋体"/>
      <w:color w:val="000000"/>
      <w:kern w:val="0"/>
      <w:sz w:val="20"/>
      <w:szCs w:val="20"/>
    </w:rPr>
  </w:style>
  <w:style w:type="paragraph" w:customStyle="1" w:styleId="27">
    <w:name w:val="font8"/>
    <w:basedOn w:val="1"/>
    <w:qFormat/>
    <w:uiPriority w:val="99"/>
    <w:pPr>
      <w:widowControl/>
      <w:spacing w:before="100" w:beforeAutospacing="1" w:after="100" w:afterAutospacing="1"/>
      <w:jc w:val="left"/>
    </w:pPr>
    <w:rPr>
      <w:color w:val="000000"/>
      <w:kern w:val="0"/>
      <w:sz w:val="20"/>
      <w:szCs w:val="20"/>
    </w:rPr>
  </w:style>
  <w:style w:type="paragraph" w:customStyle="1" w:styleId="28">
    <w:name w:val="font9"/>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29">
    <w:name w:val="xl2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30">
    <w:name w:val="xl2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1">
    <w:name w:val="xl2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32">
    <w:name w:val="xl2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3">
    <w:name w:val="xl2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34">
    <w:name w:val="xl2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5">
    <w:name w:val="xl3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8"/>
      <w:szCs w:val="18"/>
    </w:rPr>
  </w:style>
  <w:style w:type="paragraph" w:customStyle="1" w:styleId="36">
    <w:name w:val="xl3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7">
    <w:name w:val="xl3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0"/>
      <w:szCs w:val="20"/>
    </w:rPr>
  </w:style>
  <w:style w:type="paragraph" w:customStyle="1" w:styleId="38">
    <w:name w:val="xl3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ind w:left="360" w:hanging="360"/>
      <w:jc w:val="left"/>
      <w:textAlignment w:val="bottom"/>
    </w:pPr>
    <w:rPr>
      <w:rFonts w:ascii="宋体" w:hAnsi="宋体" w:cs="宋体"/>
      <w:color w:val="000000"/>
      <w:kern w:val="0"/>
      <w:sz w:val="20"/>
      <w:szCs w:val="20"/>
    </w:rPr>
  </w:style>
  <w:style w:type="paragraph" w:customStyle="1" w:styleId="39">
    <w:name w:val="xl3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0">
    <w:name w:val="xl3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szCs w:val="24"/>
    </w:rPr>
  </w:style>
  <w:style w:type="paragraph" w:customStyle="1" w:styleId="41">
    <w:name w:val="xl3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42">
    <w:name w:val="xl3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 w:val="20"/>
      <w:szCs w:val="20"/>
    </w:rPr>
  </w:style>
  <w:style w:type="paragraph" w:customStyle="1" w:styleId="43">
    <w:name w:val="xl3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44">
    <w:name w:val="xl3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cs="宋体"/>
      <w:color w:val="000000"/>
      <w:kern w:val="0"/>
      <w:sz w:val="24"/>
      <w:szCs w:val="24"/>
    </w:rPr>
  </w:style>
  <w:style w:type="paragraph" w:customStyle="1" w:styleId="45">
    <w:name w:val="xl4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8"/>
      <w:szCs w:val="28"/>
    </w:rPr>
  </w:style>
  <w:style w:type="paragraph" w:customStyle="1" w:styleId="46">
    <w:name w:val="xl4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8"/>
      <w:szCs w:val="28"/>
    </w:rPr>
  </w:style>
  <w:style w:type="paragraph" w:customStyle="1" w:styleId="47">
    <w:name w:val="xl4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8"/>
      <w:szCs w:val="28"/>
    </w:rPr>
  </w:style>
  <w:style w:type="paragraph" w:customStyle="1" w:styleId="48">
    <w:name w:val="xl4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8"/>
      <w:szCs w:val="28"/>
    </w:rPr>
  </w:style>
  <w:style w:type="paragraph" w:customStyle="1" w:styleId="49">
    <w:name w:val="xl4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8"/>
      <w:szCs w:val="18"/>
    </w:rPr>
  </w:style>
  <w:style w:type="paragraph" w:customStyle="1" w:styleId="50">
    <w:name w:val="xl4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1">
    <w:name w:val="xl46"/>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2">
    <w:name w:val="xl4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53">
    <w:name w:val="font0"/>
    <w:basedOn w:val="1"/>
    <w:qFormat/>
    <w:uiPriority w:val="99"/>
    <w:pPr>
      <w:widowControl/>
      <w:spacing w:before="100" w:beforeAutospacing="1" w:after="100" w:afterAutospacing="1"/>
      <w:jc w:val="left"/>
    </w:pPr>
    <w:rPr>
      <w:rFonts w:ascii="宋体" w:hAnsi="宋体" w:cs="宋体"/>
      <w:kern w:val="0"/>
      <w:sz w:val="24"/>
      <w:szCs w:val="24"/>
    </w:rPr>
  </w:style>
  <w:style w:type="paragraph" w:styleId="54">
    <w:name w:val="No Spacing"/>
    <w:qFormat/>
    <w:uiPriority w:val="1"/>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6423</Words>
  <Characters>6503</Characters>
  <Lines>4</Lines>
  <Paragraphs>13</Paragraphs>
  <TotalTime>8</TotalTime>
  <ScaleCrop>false</ScaleCrop>
  <LinksUpToDate>false</LinksUpToDate>
  <CharactersWithSpaces>6647</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2022-10-17T09:12:00Z</dcterms:created>
  <dc:creator>陈玉珊</dc:creator>
  <cp:lastModifiedBy>xmadmin</cp:lastModifiedBy>
  <cp:lastPrinted>2024-11-12T00:06:00Z</cp:lastPrinted>
  <dcterms:modified xsi:type="dcterms:W3CDTF">2024-11-12T08:58:48Z</dcterms:modified>
  <dc:title>厦门市城市管理行政执法部门</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AEE38283727B445A845118CA10B49415_12</vt:lpwstr>
  </property>
</Properties>
</file>