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line="600" w:lineRule="exact"/>
        <w:jc w:val="both"/>
        <w:rPr>
          <w:rFonts w:ascii="方正小标宋简体" w:hAnsi="宋体" w:eastAsia="方正小标宋简体" w:cs="方正小标宋简体"/>
          <w:b/>
          <w:color w:val="000000"/>
          <w:sz w:val="30"/>
          <w:szCs w:val="30"/>
        </w:rPr>
      </w:pPr>
      <w:r>
        <w:rPr>
          <w:rFonts w:hint="eastAsia" w:ascii="方正小标宋简体" w:hAnsi="宋体" w:eastAsia="方正小标宋简体" w:cs="方正小标宋简体"/>
          <w:b/>
          <w:color w:val="000000"/>
          <w:sz w:val="30"/>
          <w:szCs w:val="30"/>
        </w:rPr>
        <w:t>《福建省实施</w:t>
      </w:r>
      <w:r>
        <w:rPr>
          <w:rFonts w:ascii="方正小标宋简体" w:hAnsi="宋体" w:eastAsia="方正小标宋简体" w:cs="方正小标宋简体"/>
          <w:b/>
          <w:color w:val="000000"/>
          <w:sz w:val="30"/>
          <w:szCs w:val="30"/>
        </w:rPr>
        <w:t>&lt;</w:t>
      </w:r>
      <w:r>
        <w:rPr>
          <w:rFonts w:hint="eastAsia" w:ascii="方正小标宋简体" w:hAnsi="宋体" w:eastAsia="方正小标宋简体" w:cs="方正小标宋简体"/>
          <w:b/>
          <w:color w:val="000000"/>
          <w:sz w:val="30"/>
          <w:szCs w:val="30"/>
        </w:rPr>
        <w:t>中华人民共和国城市规划法</w:t>
      </w:r>
      <w:r>
        <w:rPr>
          <w:rFonts w:ascii="方正小标宋简体" w:hAnsi="宋体" w:eastAsia="方正小标宋简体" w:cs="方正小标宋简体"/>
          <w:b/>
          <w:color w:val="000000"/>
          <w:sz w:val="30"/>
          <w:szCs w:val="30"/>
        </w:rPr>
        <w:t>&gt;</w:t>
      </w:r>
      <w:r>
        <w:rPr>
          <w:rFonts w:hint="eastAsia" w:ascii="方正小标宋简体" w:hAnsi="宋体" w:eastAsia="方正小标宋简体" w:cs="方正小标宋简体"/>
          <w:b/>
          <w:color w:val="000000"/>
          <w:sz w:val="30"/>
          <w:szCs w:val="30"/>
        </w:rPr>
        <w:t>办法》</w:t>
      </w:r>
      <w:r>
        <w:rPr>
          <w:rFonts w:ascii="方正小标宋简体" w:hAnsi="宋体" w:eastAsia="方正小标宋简体" w:cs="方正小标宋简体"/>
          <w:b/>
          <w:color w:val="000000"/>
          <w:sz w:val="30"/>
          <w:szCs w:val="30"/>
        </w:rPr>
        <w:t>(1991</w:t>
      </w:r>
      <w:r>
        <w:rPr>
          <w:rFonts w:hint="eastAsia" w:ascii="方正小标宋简体" w:hAnsi="宋体" w:eastAsia="方正小标宋简体" w:cs="方正小标宋简体"/>
          <w:b/>
          <w:color w:val="000000"/>
          <w:sz w:val="30"/>
          <w:szCs w:val="30"/>
        </w:rPr>
        <w:t>年</w:t>
      </w:r>
      <w:r>
        <w:rPr>
          <w:rFonts w:ascii="方正小标宋简体" w:hAnsi="宋体" w:eastAsia="方正小标宋简体" w:cs="方正小标宋简体"/>
          <w:b/>
          <w:color w:val="000000"/>
          <w:sz w:val="30"/>
          <w:szCs w:val="30"/>
        </w:rPr>
        <w:t>6</w:t>
      </w:r>
      <w:r>
        <w:rPr>
          <w:rFonts w:hint="eastAsia" w:ascii="方正小标宋简体" w:hAnsi="宋体" w:eastAsia="方正小标宋简体" w:cs="方正小标宋简体"/>
          <w:b/>
          <w:color w:val="000000"/>
          <w:sz w:val="30"/>
          <w:szCs w:val="30"/>
        </w:rPr>
        <w:t>月</w:t>
      </w:r>
      <w:r>
        <w:rPr>
          <w:rFonts w:ascii="方正小标宋简体" w:hAnsi="宋体" w:eastAsia="方正小标宋简体" w:cs="方正小标宋简体"/>
          <w:b/>
          <w:color w:val="000000"/>
          <w:sz w:val="30"/>
          <w:szCs w:val="30"/>
        </w:rPr>
        <w:t>28</w:t>
      </w:r>
      <w:r>
        <w:rPr>
          <w:rFonts w:hint="eastAsia" w:ascii="方正小标宋简体" w:hAnsi="宋体" w:eastAsia="方正小标宋简体" w:cs="方正小标宋简体"/>
          <w:b/>
          <w:color w:val="000000"/>
          <w:sz w:val="30"/>
          <w:szCs w:val="30"/>
        </w:rPr>
        <w:t>日施行，</w:t>
      </w:r>
      <w:r>
        <w:rPr>
          <w:rFonts w:ascii="方正小标宋简体" w:hAnsi="宋体" w:eastAsia="方正小标宋简体" w:cs="方正小标宋简体"/>
          <w:b/>
          <w:color w:val="000000"/>
          <w:sz w:val="30"/>
          <w:szCs w:val="30"/>
        </w:rPr>
        <w:t>202</w:t>
      </w:r>
      <w:r>
        <w:rPr>
          <w:rFonts w:hint="eastAsia" w:ascii="方正小标宋简体" w:hAnsi="宋体" w:eastAsia="方正小标宋简体" w:cs="方正小标宋简体"/>
          <w:b/>
          <w:color w:val="000000"/>
          <w:sz w:val="30"/>
          <w:szCs w:val="30"/>
          <w:lang w:val="en-US" w:eastAsia="zh-CN"/>
        </w:rPr>
        <w:t>4</w:t>
      </w:r>
      <w:r>
        <w:rPr>
          <w:rFonts w:ascii="方正小标宋简体" w:hAnsi="宋体" w:eastAsia="方正小标宋简体" w:cs="方正小标宋简体"/>
          <w:b/>
          <w:color w:val="000000"/>
          <w:sz w:val="30"/>
          <w:szCs w:val="30"/>
        </w:rPr>
        <w:t>年</w:t>
      </w:r>
      <w:r>
        <w:rPr>
          <w:rFonts w:hint="eastAsia" w:ascii="方正小标宋简体" w:hAnsi="宋体" w:eastAsia="方正小标宋简体" w:cs="方正小标宋简体"/>
          <w:b/>
          <w:color w:val="000000"/>
          <w:sz w:val="30"/>
          <w:szCs w:val="30"/>
        </w:rPr>
        <w:t>修订裁量权基准）</w:t>
      </w:r>
    </w:p>
    <w:tbl>
      <w:tblPr>
        <w:tblStyle w:val="10"/>
        <w:tblW w:w="14742" w:type="dxa"/>
        <w:jc w:val="center"/>
        <w:tblLayout w:type="autofit"/>
        <w:tblCellMar>
          <w:top w:w="0" w:type="dxa"/>
          <w:left w:w="108" w:type="dxa"/>
          <w:bottom w:w="0" w:type="dxa"/>
          <w:right w:w="108" w:type="dxa"/>
        </w:tblCellMar>
      </w:tblPr>
      <w:tblGrid>
        <w:gridCol w:w="800"/>
        <w:gridCol w:w="823"/>
        <w:gridCol w:w="2540"/>
        <w:gridCol w:w="4001"/>
        <w:gridCol w:w="920"/>
        <w:gridCol w:w="3480"/>
        <w:gridCol w:w="1303"/>
        <w:gridCol w:w="875"/>
      </w:tblGrid>
      <w:tr>
        <w:tblPrEx>
          <w:tblCellMar>
            <w:top w:w="0" w:type="dxa"/>
            <w:left w:w="108" w:type="dxa"/>
            <w:bottom w:w="0" w:type="dxa"/>
            <w:right w:w="108" w:type="dxa"/>
          </w:tblCellMar>
        </w:tblPrEx>
        <w:trPr>
          <w:tblHeader/>
          <w:jc w:val="center"/>
        </w:trPr>
        <w:tc>
          <w:tcPr>
            <w:tcW w:w="800"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序号</w:t>
            </w:r>
          </w:p>
        </w:tc>
        <w:tc>
          <w:tcPr>
            <w:tcW w:w="8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违法行为</w:t>
            </w:r>
          </w:p>
        </w:tc>
        <w:tc>
          <w:tcPr>
            <w:tcW w:w="2540" w:type="dxa"/>
            <w:vMerge w:val="restart"/>
            <w:tcBorders>
              <w:top w:val="single" w:color="auto" w:sz="4" w:space="0"/>
              <w:left w:val="single" w:color="auto" w:sz="4" w:space="0"/>
              <w:bottom w:val="single" w:color="000000" w:sz="4" w:space="0"/>
              <w:right w:val="single" w:color="auto" w:sz="4" w:space="0"/>
            </w:tcBorders>
            <w:noWrap/>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定案依据</w:t>
            </w:r>
          </w:p>
        </w:tc>
        <w:tc>
          <w:tcPr>
            <w:tcW w:w="446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处罚依据</w:t>
            </w:r>
          </w:p>
        </w:tc>
        <w:tc>
          <w:tcPr>
            <w:tcW w:w="4400" w:type="dxa"/>
            <w:gridSpan w:val="2"/>
            <w:tcBorders>
              <w:top w:val="single" w:color="auto" w:sz="4" w:space="0"/>
              <w:left w:val="nil"/>
              <w:bottom w:val="single" w:color="auto" w:sz="4" w:space="0"/>
              <w:right w:val="single" w:color="auto" w:sz="4" w:space="0"/>
            </w:tcBorders>
            <w:noWrap/>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违法情节</w:t>
            </w:r>
          </w:p>
        </w:tc>
        <w:tc>
          <w:tcPr>
            <w:tcW w:w="140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处罚标准</w:t>
            </w:r>
          </w:p>
        </w:tc>
        <w:tc>
          <w:tcPr>
            <w:tcW w:w="94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备注</w:t>
            </w:r>
          </w:p>
        </w:tc>
      </w:tr>
      <w:tr>
        <w:tblPrEx>
          <w:tblCellMar>
            <w:top w:w="0" w:type="dxa"/>
            <w:left w:w="108" w:type="dxa"/>
            <w:bottom w:w="0" w:type="dxa"/>
            <w:right w:w="108" w:type="dxa"/>
          </w:tblCellMar>
        </w:tblPrEx>
        <w:trPr>
          <w:tblHeader/>
          <w:jc w:val="center"/>
        </w:trPr>
        <w:tc>
          <w:tcPr>
            <w:tcW w:w="8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highlight w:val="none"/>
              </w:rPr>
            </w:pPr>
          </w:p>
        </w:tc>
        <w:tc>
          <w:tcPr>
            <w:tcW w:w="88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highlight w:val="none"/>
              </w:rPr>
            </w:pPr>
          </w:p>
        </w:tc>
        <w:tc>
          <w:tcPr>
            <w:tcW w:w="2540"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20" w:lineRule="exact"/>
              <w:jc w:val="left"/>
              <w:rPr>
                <w:rFonts w:ascii="宋体"/>
                <w:b/>
                <w:bCs/>
                <w:color w:val="000000"/>
                <w:kern w:val="0"/>
                <w:highlight w:val="none"/>
              </w:rPr>
            </w:pPr>
          </w:p>
        </w:tc>
        <w:tc>
          <w:tcPr>
            <w:tcW w:w="44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highlight w:val="none"/>
              </w:rPr>
            </w:pPr>
          </w:p>
        </w:tc>
        <w:tc>
          <w:tcPr>
            <w:tcW w:w="920" w:type="dxa"/>
            <w:tcBorders>
              <w:top w:val="nil"/>
              <w:left w:val="nil"/>
              <w:bottom w:val="single" w:color="auto" w:sz="4" w:space="0"/>
              <w:right w:val="single" w:color="auto" w:sz="4" w:space="0"/>
            </w:tcBorders>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情节</w:t>
            </w:r>
          </w:p>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分类</w:t>
            </w:r>
          </w:p>
        </w:tc>
        <w:tc>
          <w:tcPr>
            <w:tcW w:w="3480" w:type="dxa"/>
            <w:tcBorders>
              <w:top w:val="nil"/>
              <w:left w:val="nil"/>
              <w:bottom w:val="single" w:color="auto" w:sz="4" w:space="0"/>
              <w:right w:val="single" w:color="auto" w:sz="4" w:space="0"/>
            </w:tcBorders>
            <w:vAlign w:val="center"/>
          </w:tcPr>
          <w:p>
            <w:pPr>
              <w:widowControl/>
              <w:spacing w:line="320" w:lineRule="exact"/>
              <w:jc w:val="center"/>
              <w:rPr>
                <w:rFonts w:ascii="宋体"/>
                <w:b/>
                <w:bCs/>
                <w:color w:val="000000"/>
                <w:kern w:val="0"/>
                <w:highlight w:val="none"/>
              </w:rPr>
            </w:pPr>
            <w:r>
              <w:rPr>
                <w:rFonts w:hint="eastAsia" w:ascii="宋体" w:hAnsi="宋体" w:cs="宋体"/>
                <w:b/>
                <w:bCs/>
                <w:color w:val="000000"/>
                <w:kern w:val="0"/>
                <w:highlight w:val="none"/>
              </w:rPr>
              <w:t>违法情节的详细的描述</w:t>
            </w:r>
          </w:p>
        </w:tc>
        <w:tc>
          <w:tcPr>
            <w:tcW w:w="14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highlight w:val="none"/>
              </w:rPr>
            </w:pPr>
          </w:p>
        </w:tc>
        <w:tc>
          <w:tcPr>
            <w:tcW w:w="94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宋体"/>
                <w:b/>
                <w:bCs/>
                <w:color w:val="000000"/>
                <w:kern w:val="0"/>
                <w:highlight w:val="none"/>
              </w:rPr>
            </w:pPr>
          </w:p>
        </w:tc>
      </w:tr>
      <w:tr>
        <w:tblPrEx>
          <w:tblCellMar>
            <w:top w:w="0" w:type="dxa"/>
            <w:left w:w="108" w:type="dxa"/>
            <w:bottom w:w="0" w:type="dxa"/>
            <w:right w:w="108" w:type="dxa"/>
          </w:tblCellMar>
        </w:tblPrEx>
        <w:trPr>
          <w:trHeight w:val="4690" w:hRule="atLeast"/>
          <w:jc w:val="center"/>
        </w:trPr>
        <w:tc>
          <w:tcPr>
            <w:tcW w:w="800" w:type="dxa"/>
            <w:vMerge w:val="restart"/>
            <w:tcBorders>
              <w:top w:val="nil"/>
              <w:left w:val="single" w:color="auto" w:sz="4" w:space="0"/>
              <w:bottom w:val="single" w:color="auto" w:sz="4" w:space="0"/>
              <w:right w:val="single" w:color="auto" w:sz="4" w:space="0"/>
            </w:tcBorders>
            <w:noWrap/>
            <w:vAlign w:val="center"/>
          </w:tcPr>
          <w:p>
            <w:pPr>
              <w:widowControl/>
              <w:spacing w:line="320" w:lineRule="exact"/>
              <w:jc w:val="center"/>
              <w:rPr>
                <w:rFonts w:ascii="宋体"/>
                <w:color w:val="000000"/>
                <w:kern w:val="0"/>
                <w:highlight w:val="none"/>
              </w:rPr>
            </w:pPr>
            <w:r>
              <w:rPr>
                <w:rFonts w:ascii="宋体" w:hAnsi="宋体" w:cs="宋体"/>
                <w:color w:val="000000"/>
                <w:kern w:val="0"/>
                <w:highlight w:val="none"/>
              </w:rPr>
              <w:t>1</w:t>
            </w:r>
          </w:p>
        </w:tc>
        <w:tc>
          <w:tcPr>
            <w:tcW w:w="88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严重影响城市规划</w:t>
            </w:r>
          </w:p>
        </w:tc>
        <w:tc>
          <w:tcPr>
            <w:tcW w:w="2540"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s="宋体"/>
                <w:color w:val="000000"/>
                <w:kern w:val="0"/>
                <w:highlight w:val="none"/>
              </w:rPr>
            </w:pPr>
            <w:r>
              <w:rPr>
                <w:rFonts w:hint="eastAsia" w:ascii="宋体" w:hAnsi="宋体" w:cs="宋体"/>
                <w:color w:val="000000"/>
                <w:kern w:val="0"/>
                <w:highlight w:val="none"/>
              </w:rPr>
              <w:t>《福建省实施〈中华人民共和国城市规划法〉办法》第四十一条第一款 在城市规划区内新建、扩建和改建建筑物、构筑物、道路、管线和其他工程设施，必须取得建设工程规划许可证。</w:t>
            </w:r>
          </w:p>
        </w:tc>
        <w:tc>
          <w:tcPr>
            <w:tcW w:w="446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《福建省实施〈中华人民共和国城市规划法〉办法》第五十九条第一款 在城市规划区内，未取得建设工程规划许可证或者违反建设工程规划许可证规定进行建设的，按《城市规划法》第四十条规定处罚。其中并处罚款数额为该项违法建设工程造价的</w:t>
            </w:r>
            <w:r>
              <w:rPr>
                <w:rFonts w:ascii="宋体" w:hAnsi="宋体" w:cs="宋体"/>
                <w:color w:val="000000"/>
                <w:kern w:val="0"/>
                <w:highlight w:val="none"/>
              </w:rPr>
              <w:t>1-3%</w:t>
            </w:r>
            <w:r>
              <w:rPr>
                <w:rFonts w:hint="eastAsia" w:ascii="宋体" w:hAnsi="宋体" w:cs="宋体"/>
                <w:color w:val="000000"/>
                <w:kern w:val="0"/>
                <w:highlight w:val="none"/>
              </w:rPr>
              <w:t>。</w:t>
            </w:r>
            <w:r>
              <w:rPr>
                <w:rFonts w:ascii="宋体" w:hAnsi="宋体" w:cs="宋体"/>
                <w:color w:val="000000"/>
                <w:kern w:val="0"/>
                <w:highlight w:val="none"/>
              </w:rPr>
              <w:t xml:space="preserve"> </w:t>
            </w:r>
          </w:p>
          <w:p>
            <w:pPr>
              <w:widowControl/>
              <w:spacing w:line="320" w:lineRule="exact"/>
              <w:jc w:val="left"/>
              <w:rPr>
                <w:rFonts w:ascii="宋体"/>
                <w:color w:val="000000"/>
                <w:kern w:val="0"/>
                <w:highlight w:val="none"/>
              </w:rPr>
            </w:pPr>
            <w:r>
              <w:rPr>
                <w:rFonts w:hint="eastAsia" w:ascii="宋体" w:hAnsi="宋体" w:cs="宋体"/>
                <w:color w:val="000000"/>
                <w:kern w:val="0"/>
                <w:highlight w:val="none"/>
              </w:rPr>
              <w:t>第五十九条</w:t>
            </w:r>
            <w:r>
              <w:rPr>
                <w:rFonts w:hint="eastAsia" w:ascii="宋体" w:hAnsi="宋体" w:cs="宋体"/>
                <w:color w:val="000000"/>
                <w:kern w:val="0"/>
                <w:highlight w:val="none"/>
                <w:lang w:val="en-US" w:eastAsia="zh-CN"/>
              </w:rPr>
              <w:t xml:space="preserve"> </w:t>
            </w:r>
            <w:bookmarkStart w:id="0" w:name="_GoBack"/>
            <w:bookmarkEnd w:id="0"/>
            <w:r>
              <w:rPr>
                <w:rFonts w:hint="eastAsia" w:ascii="宋体" w:hAnsi="宋体" w:cs="宋体"/>
                <w:color w:val="000000"/>
                <w:kern w:val="0"/>
                <w:highlight w:val="none"/>
              </w:rPr>
              <w:t>第二款  占用城市规划确定保留或者预留的道路、广场、高压供电走廊、电讯广播通道、地下管线位置、绿地、水面、风景名胜、文物古迹、文教体育和其他公共活动场地，进行违反规划要求的建设、责令其限期拆除。</w:t>
            </w:r>
          </w:p>
          <w:p>
            <w:pPr>
              <w:widowControl/>
              <w:spacing w:line="320" w:lineRule="exact"/>
              <w:jc w:val="left"/>
              <w:rPr>
                <w:rFonts w:ascii="宋体" w:cs="宋体"/>
                <w:color w:val="000000"/>
                <w:kern w:val="0"/>
                <w:highlight w:val="none"/>
              </w:rPr>
            </w:pPr>
            <w:r>
              <w:rPr>
                <w:rFonts w:hint="eastAsia" w:ascii="宋体" w:hAnsi="宋体" w:cs="宋体"/>
                <w:color w:val="000000"/>
                <w:kern w:val="0"/>
                <w:highlight w:val="none"/>
              </w:rPr>
              <w:t>第五十九条</w:t>
            </w:r>
            <w:r>
              <w:rPr>
                <w:rFonts w:hint="eastAsia" w:ascii="宋体" w:hAnsi="宋体" w:cs="宋体"/>
                <w:color w:val="000000"/>
                <w:kern w:val="0"/>
                <w:highlight w:val="none"/>
                <w:lang w:val="en-US" w:eastAsia="zh-CN"/>
              </w:rPr>
              <w:t xml:space="preserve"> </w:t>
            </w:r>
            <w:r>
              <w:rPr>
                <w:rFonts w:hint="eastAsia" w:ascii="宋体" w:hAnsi="宋体" w:cs="宋体"/>
                <w:color w:val="000000"/>
                <w:kern w:val="0"/>
                <w:highlight w:val="none"/>
              </w:rPr>
              <w:t>第三款  违法情节严重者，其建筑物、构筑物和其他设施应予以没收。擅自改变建筑物、构筑物和其他设施的使用性质，擅自改变规定的土地使用性质，责令其限期采取改正措施。</w:t>
            </w:r>
            <w:r>
              <w:rPr>
                <w:rFonts w:ascii="宋体" w:hAnsi="宋体" w:cs="宋体"/>
                <w:color w:val="000000"/>
                <w:kern w:val="0"/>
                <w:highlight w:val="none"/>
              </w:rPr>
              <w:t xml:space="preserve"> </w:t>
            </w:r>
          </w:p>
        </w:tc>
        <w:tc>
          <w:tcPr>
            <w:tcW w:w="92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center"/>
              <w:rPr>
                <w:rFonts w:ascii="宋体"/>
                <w:color w:val="000000"/>
                <w:kern w:val="0"/>
                <w:highlight w:val="none"/>
              </w:rPr>
            </w:pPr>
            <w:r>
              <w:rPr>
                <w:rFonts w:ascii="宋体" w:hAnsi="宋体" w:cs="宋体"/>
                <w:color w:val="000000"/>
                <w:kern w:val="0"/>
                <w:highlight w:val="none"/>
              </w:rPr>
              <w:t xml:space="preserve"> </w:t>
            </w:r>
          </w:p>
        </w:tc>
        <w:tc>
          <w:tcPr>
            <w:tcW w:w="348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占用城市规划确定保留或者预留的道路、广场、高压供电走廊、电讯广播通道、地下管线位置、绿地、水面、风景名胜、文物古迹、文教体育和其他公共活动场地，进行违反规划要求的建设；违法情节严重者，其建筑物、构筑物和其他设施应予以没收。擅自改变建筑物、构筑物和其他设施的使用性质，擅自改变规定的土地使用性质</w:t>
            </w:r>
          </w:p>
        </w:tc>
        <w:tc>
          <w:tcPr>
            <w:tcW w:w="140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color w:val="000000"/>
                <w:kern w:val="0"/>
                <w:highlight w:val="none"/>
              </w:rPr>
              <w:t>责令其限期拆除或者责令其限期采取改正措施</w:t>
            </w:r>
          </w:p>
        </w:tc>
        <w:tc>
          <w:tcPr>
            <w:tcW w:w="940" w:type="dxa"/>
            <w:vMerge w:val="restart"/>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r>
              <w:rPr>
                <w:rFonts w:hint="eastAsia" w:ascii="宋体" w:hAnsi="宋体" w:cs="宋体"/>
                <w:bCs/>
                <w:kern w:val="0"/>
                <w:highlight w:val="none"/>
              </w:rPr>
              <w:t>此项处罚不涉及裁量权基准</w:t>
            </w:r>
          </w:p>
        </w:tc>
      </w:tr>
      <w:tr>
        <w:tblPrEx>
          <w:tblCellMar>
            <w:top w:w="0" w:type="dxa"/>
            <w:left w:w="108" w:type="dxa"/>
            <w:bottom w:w="0" w:type="dxa"/>
            <w:right w:w="108" w:type="dxa"/>
          </w:tblCellMar>
        </w:tblPrEx>
        <w:trPr>
          <w:trHeight w:val="1745" w:hRule="atLeast"/>
          <w:jc w:val="center"/>
        </w:trPr>
        <w:tc>
          <w:tcPr>
            <w:tcW w:w="80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88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2540"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highlight w:val="none"/>
              </w:rPr>
            </w:pPr>
          </w:p>
        </w:tc>
        <w:tc>
          <w:tcPr>
            <w:tcW w:w="446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92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348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140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94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r>
      <w:tr>
        <w:tblPrEx>
          <w:tblCellMar>
            <w:top w:w="0" w:type="dxa"/>
            <w:left w:w="108" w:type="dxa"/>
            <w:bottom w:w="0" w:type="dxa"/>
            <w:right w:w="108" w:type="dxa"/>
          </w:tblCellMar>
        </w:tblPrEx>
        <w:trPr>
          <w:trHeight w:val="312" w:hRule="atLeast"/>
          <w:jc w:val="center"/>
        </w:trPr>
        <w:tc>
          <w:tcPr>
            <w:tcW w:w="80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88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2540"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000000"/>
                <w:kern w:val="0"/>
                <w:highlight w:val="none"/>
              </w:rPr>
            </w:pPr>
          </w:p>
        </w:tc>
        <w:tc>
          <w:tcPr>
            <w:tcW w:w="446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92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348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140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c>
          <w:tcPr>
            <w:tcW w:w="940"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宋体"/>
                <w:color w:val="000000"/>
                <w:kern w:val="0"/>
                <w:highlight w:val="none"/>
              </w:rPr>
            </w:pPr>
          </w:p>
        </w:tc>
      </w:tr>
      <w:tr>
        <w:tblPrEx>
          <w:tblCellMar>
            <w:top w:w="0" w:type="dxa"/>
            <w:left w:w="108" w:type="dxa"/>
            <w:bottom w:w="0" w:type="dxa"/>
            <w:right w:w="108" w:type="dxa"/>
          </w:tblCellMar>
        </w:tblPrEx>
        <w:trPr>
          <w:jc w:val="center"/>
        </w:trPr>
        <w:tc>
          <w:tcPr>
            <w:tcW w:w="800" w:type="dxa"/>
            <w:vMerge w:val="restart"/>
            <w:tcBorders>
              <w:top w:val="nil"/>
              <w:left w:val="single" w:color="auto" w:sz="4" w:space="0"/>
              <w:bottom w:val="single" w:color="000000" w:sz="4" w:space="0"/>
              <w:right w:val="single" w:color="auto" w:sz="4" w:space="0"/>
            </w:tcBorders>
            <w:noWrap/>
            <w:vAlign w:val="center"/>
          </w:tcPr>
          <w:p>
            <w:pPr>
              <w:widowControl/>
              <w:spacing w:line="320" w:lineRule="exact"/>
              <w:jc w:val="center"/>
              <w:rPr>
                <w:rFonts w:ascii="宋体" w:cs="Times New Roman"/>
                <w:color w:val="auto"/>
                <w:kern w:val="0"/>
                <w:highlight w:val="none"/>
              </w:rPr>
            </w:pPr>
            <w:r>
              <w:rPr>
                <w:rFonts w:ascii="宋体" w:hAnsi="宋体" w:cs="宋体"/>
                <w:color w:val="auto"/>
                <w:kern w:val="0"/>
                <w:highlight w:val="none"/>
              </w:rPr>
              <w:t>2</w:t>
            </w:r>
          </w:p>
        </w:tc>
        <w:tc>
          <w:tcPr>
            <w:tcW w:w="880"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ascii="宋体" w:cs="Times New Roman"/>
                <w:color w:val="auto"/>
                <w:kern w:val="0"/>
                <w:highlight w:val="none"/>
              </w:rPr>
            </w:pPr>
            <w:r>
              <w:rPr>
                <w:rFonts w:hint="eastAsia" w:ascii="宋体" w:hAnsi="宋体" w:cs="宋体"/>
                <w:color w:val="auto"/>
                <w:kern w:val="0"/>
                <w:highlight w:val="none"/>
              </w:rPr>
              <w:t>违法建设尚可改正</w:t>
            </w:r>
          </w:p>
        </w:tc>
        <w:tc>
          <w:tcPr>
            <w:tcW w:w="2540" w:type="dxa"/>
            <w:vMerge w:val="restart"/>
            <w:tcBorders>
              <w:top w:val="nil"/>
              <w:left w:val="single" w:color="auto" w:sz="4" w:space="0"/>
              <w:bottom w:val="single" w:color="000000" w:sz="4" w:space="0"/>
              <w:right w:val="single" w:color="auto" w:sz="4" w:space="0"/>
            </w:tcBorders>
            <w:vAlign w:val="center"/>
          </w:tcPr>
          <w:p>
            <w:pPr>
              <w:widowControl/>
              <w:spacing w:line="320" w:lineRule="exact"/>
              <w:rPr>
                <w:rFonts w:ascii="宋体" w:cs="Times New Roman"/>
                <w:color w:val="auto"/>
                <w:kern w:val="0"/>
                <w:highlight w:val="none"/>
              </w:rPr>
            </w:pPr>
            <w:r>
              <w:rPr>
                <w:rFonts w:hint="eastAsia" w:ascii="宋体" w:hAnsi="宋体" w:cs="宋体"/>
                <w:color w:val="auto"/>
                <w:kern w:val="0"/>
                <w:highlight w:val="none"/>
              </w:rPr>
              <w:t>《福建省实施〈中华人民共和国城市规划法〉办法》第四十一条第一款</w:t>
            </w:r>
            <w:r>
              <w:rPr>
                <w:rFonts w:hint="eastAsia" w:ascii="宋体" w:hAnsi="宋体" w:cs="宋体"/>
                <w:kern w:val="0"/>
                <w:highlight w:val="none"/>
              </w:rPr>
              <w:t xml:space="preserve">  </w:t>
            </w:r>
            <w:r>
              <w:rPr>
                <w:rFonts w:hint="eastAsia" w:ascii="宋体" w:hAnsi="宋体" w:cs="宋体"/>
                <w:color w:val="auto"/>
                <w:kern w:val="0"/>
                <w:highlight w:val="none"/>
              </w:rPr>
              <w:t>在城市规划区内新建、扩建和改建建筑物、构筑物、道路、管线和其他工程设施，必须取得建设工程规划许可证。</w:t>
            </w:r>
          </w:p>
        </w:tc>
        <w:tc>
          <w:tcPr>
            <w:tcW w:w="4460" w:type="dxa"/>
            <w:vMerge w:val="restart"/>
            <w:tcBorders>
              <w:top w:val="nil"/>
              <w:left w:val="single" w:color="auto" w:sz="4" w:space="0"/>
              <w:bottom w:val="single" w:color="000000" w:sz="4" w:space="0"/>
              <w:right w:val="single" w:color="auto" w:sz="4" w:space="0"/>
            </w:tcBorders>
            <w:vAlign w:val="center"/>
          </w:tcPr>
          <w:p>
            <w:pPr>
              <w:widowControl/>
              <w:spacing w:line="320" w:lineRule="exact"/>
              <w:rPr>
                <w:rFonts w:ascii="宋体" w:cs="Times New Roman"/>
                <w:color w:val="auto"/>
                <w:kern w:val="0"/>
                <w:highlight w:val="none"/>
              </w:rPr>
            </w:pPr>
            <w:r>
              <w:rPr>
                <w:rFonts w:hint="eastAsia" w:ascii="宋体" w:hAnsi="宋体" w:cs="宋体"/>
                <w:color w:val="auto"/>
                <w:kern w:val="0"/>
                <w:highlight w:val="none"/>
              </w:rPr>
              <w:t>《福建省实施〈中华人民共和国城市规划法〉办法》第五十九条第一款</w:t>
            </w:r>
            <w:r>
              <w:rPr>
                <w:rFonts w:hint="eastAsia" w:ascii="宋体" w:hAnsi="宋体" w:cs="宋体"/>
                <w:kern w:val="0"/>
                <w:highlight w:val="none"/>
              </w:rPr>
              <w:t xml:space="preserve">  </w:t>
            </w:r>
            <w:r>
              <w:rPr>
                <w:rFonts w:hint="eastAsia" w:ascii="宋体" w:hAnsi="宋体" w:cs="宋体"/>
                <w:color w:val="auto"/>
                <w:kern w:val="0"/>
                <w:highlight w:val="none"/>
              </w:rPr>
              <w:t>在城市规划区内，未取得建设工程规划许可证或者违反建设工程规划许可证规定进行建设的，按《城市规划法》第四十条规定处罚。其中并处罚款数额为该项违法建设工程造价的</w:t>
            </w:r>
            <w:r>
              <w:rPr>
                <w:rFonts w:ascii="宋体" w:hAnsi="宋体" w:cs="宋体"/>
                <w:color w:val="auto"/>
                <w:kern w:val="0"/>
                <w:highlight w:val="none"/>
              </w:rPr>
              <w:t>1-3%</w:t>
            </w:r>
            <w:r>
              <w:rPr>
                <w:rFonts w:hint="eastAsia" w:ascii="宋体" w:hAnsi="宋体" w:cs="宋体"/>
                <w:color w:val="auto"/>
                <w:kern w:val="0"/>
                <w:highlight w:val="none"/>
              </w:rPr>
              <w:t>。</w:t>
            </w:r>
          </w:p>
        </w:tc>
        <w:tc>
          <w:tcPr>
            <w:tcW w:w="920" w:type="dxa"/>
            <w:tcBorders>
              <w:top w:val="nil"/>
              <w:left w:val="nil"/>
              <w:bottom w:val="single" w:color="auto" w:sz="4" w:space="0"/>
              <w:right w:val="single" w:color="auto" w:sz="4" w:space="0"/>
            </w:tcBorders>
            <w:vAlign w:val="center"/>
          </w:tcPr>
          <w:p>
            <w:pPr>
              <w:widowControl/>
              <w:spacing w:line="320" w:lineRule="exact"/>
              <w:jc w:val="left"/>
              <w:rPr>
                <w:rFonts w:ascii="宋体" w:cs="Times New Roman"/>
                <w:color w:val="auto"/>
                <w:kern w:val="0"/>
                <w:highlight w:val="none"/>
              </w:rPr>
            </w:pPr>
            <w:r>
              <w:rPr>
                <w:rFonts w:hint="eastAsia" w:ascii="宋体" w:hAnsi="宋体" w:cs="宋体"/>
                <w:color w:val="auto"/>
                <w:kern w:val="0"/>
                <w:highlight w:val="none"/>
              </w:rPr>
              <w:t>轻微</w:t>
            </w:r>
          </w:p>
        </w:tc>
        <w:tc>
          <w:tcPr>
            <w:tcW w:w="3480" w:type="dxa"/>
            <w:tcBorders>
              <w:top w:val="nil"/>
              <w:left w:val="nil"/>
              <w:bottom w:val="single" w:color="auto" w:sz="4" w:space="0"/>
              <w:right w:val="single" w:color="auto" w:sz="4" w:space="0"/>
            </w:tcBorders>
            <w:vAlign w:val="center"/>
          </w:tcPr>
          <w:p>
            <w:pPr>
              <w:widowControl/>
              <w:spacing w:line="320" w:lineRule="exact"/>
              <w:jc w:val="left"/>
              <w:rPr>
                <w:rFonts w:ascii="宋体" w:cs="Times New Roman"/>
                <w:color w:val="auto"/>
                <w:kern w:val="0"/>
                <w:highlight w:val="none"/>
              </w:rPr>
            </w:pPr>
            <w:r>
              <w:rPr>
                <w:rFonts w:hint="eastAsia" w:ascii="宋体" w:hAnsi="宋体" w:cs="宋体"/>
                <w:color w:val="auto"/>
                <w:kern w:val="0"/>
                <w:highlight w:val="none"/>
              </w:rPr>
              <w:t>超建面积占审批面积</w:t>
            </w:r>
            <w:r>
              <w:rPr>
                <w:rFonts w:ascii="宋体" w:hAnsi="宋体" w:cs="宋体"/>
                <w:color w:val="auto"/>
                <w:kern w:val="0"/>
                <w:highlight w:val="none"/>
              </w:rPr>
              <w:t>5%</w:t>
            </w:r>
            <w:r>
              <w:rPr>
                <w:rFonts w:hint="eastAsia" w:ascii="宋体" w:hAnsi="宋体" w:cs="宋体"/>
                <w:color w:val="auto"/>
                <w:kern w:val="0"/>
                <w:highlight w:val="none"/>
              </w:rPr>
              <w:t>以下的；违法建设面积</w:t>
            </w:r>
            <w:r>
              <w:rPr>
                <w:rFonts w:hint="eastAsia" w:ascii="宋体" w:hAnsi="宋体" w:cs="宋体"/>
                <w:color w:val="auto"/>
                <w:kern w:val="0"/>
                <w:highlight w:val="none"/>
                <w:lang w:val="en-US" w:eastAsia="zh-CN"/>
              </w:rPr>
              <w:t>200</w:t>
            </w:r>
            <w:r>
              <w:rPr>
                <w:rFonts w:ascii="宋体" w:hAnsi="宋体" w:cs="宋体"/>
                <w:color w:val="auto"/>
                <w:kern w:val="0"/>
                <w:highlight w:val="none"/>
              </w:rPr>
              <w:t>平方米以下的。</w:t>
            </w:r>
          </w:p>
        </w:tc>
        <w:tc>
          <w:tcPr>
            <w:tcW w:w="1400" w:type="dxa"/>
            <w:tcBorders>
              <w:top w:val="nil"/>
              <w:left w:val="nil"/>
              <w:bottom w:val="single" w:color="auto" w:sz="4" w:space="0"/>
              <w:right w:val="single" w:color="auto" w:sz="4" w:space="0"/>
            </w:tcBorders>
            <w:vAlign w:val="center"/>
          </w:tcPr>
          <w:p>
            <w:pPr>
              <w:widowControl/>
              <w:spacing w:line="320" w:lineRule="exact"/>
              <w:jc w:val="left"/>
              <w:rPr>
                <w:rFonts w:hint="eastAsia" w:ascii="宋体" w:eastAsia="宋体" w:cs="Times New Roman"/>
                <w:color w:val="auto"/>
                <w:kern w:val="0"/>
                <w:highlight w:val="none"/>
                <w:lang w:eastAsia="zh-CN"/>
              </w:rPr>
            </w:pPr>
            <w:r>
              <w:rPr>
                <w:rFonts w:hint="eastAsia" w:ascii="宋体" w:hAnsi="宋体" w:cs="宋体"/>
                <w:color w:val="auto"/>
                <w:kern w:val="0"/>
                <w:highlight w:val="none"/>
              </w:rPr>
              <w:t>责令其限期改正，按该项违法建设工程造价的</w:t>
            </w:r>
            <w:r>
              <w:rPr>
                <w:rFonts w:ascii="宋体" w:hAnsi="宋体" w:cs="宋体"/>
                <w:color w:val="auto"/>
                <w:kern w:val="0"/>
                <w:highlight w:val="none"/>
              </w:rPr>
              <w:t>1%</w:t>
            </w:r>
            <w:r>
              <w:rPr>
                <w:rFonts w:hint="eastAsia" w:ascii="宋体" w:hAnsi="宋体" w:cs="宋体"/>
                <w:color w:val="auto"/>
                <w:kern w:val="0"/>
                <w:highlight w:val="none"/>
              </w:rPr>
              <w:t>罚款</w:t>
            </w:r>
            <w:r>
              <w:rPr>
                <w:rFonts w:hint="eastAsia" w:ascii="宋体" w:hAnsi="宋体" w:cs="宋体"/>
                <w:color w:val="auto"/>
                <w:kern w:val="0"/>
                <w:highlight w:val="none"/>
                <w:lang w:eastAsia="zh-CN"/>
              </w:rPr>
              <w:t>。</w:t>
            </w:r>
          </w:p>
        </w:tc>
        <w:tc>
          <w:tcPr>
            <w:tcW w:w="940"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r>
      <w:tr>
        <w:tblPrEx>
          <w:tblCellMar>
            <w:top w:w="0" w:type="dxa"/>
            <w:left w:w="108" w:type="dxa"/>
            <w:bottom w:w="0" w:type="dxa"/>
            <w:right w:w="108" w:type="dxa"/>
          </w:tblCellMar>
        </w:tblPrEx>
        <w:trPr>
          <w:jc w:val="center"/>
        </w:trPr>
        <w:tc>
          <w:tcPr>
            <w:tcW w:w="800"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auto"/>
                <w:kern w:val="0"/>
                <w:highlight w:val="none"/>
              </w:rPr>
            </w:pPr>
          </w:p>
        </w:tc>
        <w:tc>
          <w:tcPr>
            <w:tcW w:w="880"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auto"/>
                <w:kern w:val="0"/>
                <w:highlight w:val="none"/>
              </w:rPr>
            </w:pPr>
          </w:p>
        </w:tc>
        <w:tc>
          <w:tcPr>
            <w:tcW w:w="2540"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auto"/>
                <w:kern w:val="0"/>
                <w:highlight w:val="none"/>
              </w:rPr>
            </w:pPr>
          </w:p>
        </w:tc>
        <w:tc>
          <w:tcPr>
            <w:tcW w:w="4460"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auto"/>
                <w:kern w:val="0"/>
                <w:highlight w:val="none"/>
              </w:rPr>
            </w:pPr>
          </w:p>
        </w:tc>
        <w:tc>
          <w:tcPr>
            <w:tcW w:w="920"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一般</w:t>
            </w:r>
          </w:p>
        </w:tc>
        <w:tc>
          <w:tcPr>
            <w:tcW w:w="3480"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超建面积占审批面积</w:t>
            </w:r>
            <w:r>
              <w:rPr>
                <w:rFonts w:ascii="宋体" w:hAnsi="宋体" w:cs="宋体"/>
                <w:color w:val="auto"/>
                <w:kern w:val="0"/>
                <w:highlight w:val="none"/>
              </w:rPr>
              <w:t>5%以上</w:t>
            </w:r>
            <w:r>
              <w:rPr>
                <w:rFonts w:hint="eastAsia" w:ascii="宋体" w:hAnsi="宋体" w:cs="宋体"/>
                <w:color w:val="auto"/>
                <w:kern w:val="0"/>
                <w:highlight w:val="none"/>
                <w:lang w:val="en-US" w:eastAsia="zh-CN"/>
              </w:rPr>
              <w:t>15%</w:t>
            </w:r>
            <w:r>
              <w:rPr>
                <w:rFonts w:ascii="宋体" w:hAnsi="宋体" w:cs="宋体"/>
                <w:color w:val="auto"/>
                <w:kern w:val="0"/>
                <w:highlight w:val="none"/>
              </w:rPr>
              <w:t>以下的</w:t>
            </w:r>
            <w:r>
              <w:rPr>
                <w:rFonts w:hint="eastAsia" w:ascii="宋体" w:hAnsi="宋体" w:cs="宋体"/>
                <w:color w:val="auto"/>
                <w:kern w:val="0"/>
                <w:highlight w:val="none"/>
              </w:rPr>
              <w:t>；违法建设面积</w:t>
            </w:r>
            <w:r>
              <w:rPr>
                <w:rFonts w:hint="eastAsia" w:ascii="宋体" w:hAnsi="宋体" w:cs="宋体"/>
                <w:color w:val="auto"/>
                <w:kern w:val="0"/>
                <w:highlight w:val="none"/>
                <w:lang w:val="en-US" w:eastAsia="zh-CN"/>
              </w:rPr>
              <w:t>200</w:t>
            </w:r>
            <w:r>
              <w:rPr>
                <w:rFonts w:ascii="宋体" w:hAnsi="宋体" w:cs="宋体"/>
                <w:color w:val="auto"/>
                <w:kern w:val="0"/>
                <w:highlight w:val="none"/>
              </w:rPr>
              <w:t>平方米以上</w:t>
            </w:r>
            <w:r>
              <w:rPr>
                <w:rFonts w:hint="eastAsia" w:ascii="宋体" w:hAnsi="宋体" w:cs="宋体"/>
                <w:color w:val="auto"/>
                <w:kern w:val="0"/>
                <w:highlight w:val="none"/>
                <w:lang w:val="en-US" w:eastAsia="zh-CN"/>
              </w:rPr>
              <w:t>500</w:t>
            </w:r>
            <w:r>
              <w:rPr>
                <w:rFonts w:ascii="宋体" w:hAnsi="宋体" w:cs="宋体"/>
                <w:color w:val="auto"/>
                <w:kern w:val="0"/>
                <w:highlight w:val="none"/>
              </w:rPr>
              <w:t>平方米以下的。</w:t>
            </w:r>
          </w:p>
        </w:tc>
        <w:tc>
          <w:tcPr>
            <w:tcW w:w="1400" w:type="dxa"/>
            <w:tcBorders>
              <w:top w:val="nil"/>
              <w:left w:val="nil"/>
              <w:bottom w:val="single" w:color="auto" w:sz="4" w:space="0"/>
              <w:right w:val="single" w:color="auto" w:sz="4" w:space="0"/>
            </w:tcBorders>
            <w:vAlign w:val="center"/>
          </w:tcPr>
          <w:p>
            <w:pPr>
              <w:widowControl/>
              <w:spacing w:line="320" w:lineRule="exact"/>
              <w:jc w:val="left"/>
              <w:rPr>
                <w:rFonts w:hint="eastAsia" w:ascii="宋体" w:eastAsia="宋体"/>
                <w:color w:val="auto"/>
                <w:kern w:val="0"/>
                <w:highlight w:val="none"/>
                <w:lang w:eastAsia="zh-CN"/>
              </w:rPr>
            </w:pPr>
            <w:r>
              <w:rPr>
                <w:rFonts w:hint="eastAsia" w:ascii="宋体" w:hAnsi="宋体" w:cs="宋体"/>
                <w:color w:val="auto"/>
                <w:kern w:val="0"/>
                <w:highlight w:val="none"/>
              </w:rPr>
              <w:t>责令其限期改正，按该项违法建设工程造价的</w:t>
            </w:r>
            <w:r>
              <w:rPr>
                <w:rFonts w:ascii="宋体" w:hAnsi="宋体" w:cs="宋体"/>
                <w:color w:val="auto"/>
                <w:kern w:val="0"/>
                <w:highlight w:val="none"/>
              </w:rPr>
              <w:t>1%以上2%</w:t>
            </w:r>
            <w:r>
              <w:rPr>
                <w:rFonts w:hint="eastAsia" w:ascii="宋体" w:hAnsi="宋体" w:cs="宋体"/>
                <w:color w:val="auto"/>
                <w:kern w:val="0"/>
                <w:highlight w:val="none"/>
              </w:rPr>
              <w:t>以下罚款</w:t>
            </w:r>
            <w:r>
              <w:rPr>
                <w:rFonts w:hint="eastAsia" w:ascii="宋体" w:hAnsi="宋体" w:cs="宋体"/>
                <w:color w:val="auto"/>
                <w:kern w:val="0"/>
                <w:highlight w:val="none"/>
                <w:lang w:eastAsia="zh-CN"/>
              </w:rPr>
              <w:t>。</w:t>
            </w:r>
          </w:p>
        </w:tc>
        <w:tc>
          <w:tcPr>
            <w:tcW w:w="940"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p>
        </w:tc>
      </w:tr>
      <w:tr>
        <w:tblPrEx>
          <w:tblCellMar>
            <w:top w:w="0" w:type="dxa"/>
            <w:left w:w="108" w:type="dxa"/>
            <w:bottom w:w="0" w:type="dxa"/>
            <w:right w:w="108" w:type="dxa"/>
          </w:tblCellMar>
        </w:tblPrEx>
        <w:trPr>
          <w:jc w:val="center"/>
        </w:trPr>
        <w:tc>
          <w:tcPr>
            <w:tcW w:w="800"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auto"/>
                <w:kern w:val="0"/>
                <w:highlight w:val="none"/>
              </w:rPr>
            </w:pPr>
          </w:p>
        </w:tc>
        <w:tc>
          <w:tcPr>
            <w:tcW w:w="880"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auto"/>
                <w:kern w:val="0"/>
                <w:highlight w:val="none"/>
              </w:rPr>
            </w:pPr>
          </w:p>
        </w:tc>
        <w:tc>
          <w:tcPr>
            <w:tcW w:w="2540"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auto"/>
                <w:kern w:val="0"/>
                <w:highlight w:val="none"/>
              </w:rPr>
            </w:pPr>
          </w:p>
        </w:tc>
        <w:tc>
          <w:tcPr>
            <w:tcW w:w="4460"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ascii="宋体"/>
                <w:color w:val="auto"/>
                <w:kern w:val="0"/>
                <w:highlight w:val="none"/>
              </w:rPr>
            </w:pPr>
          </w:p>
        </w:tc>
        <w:tc>
          <w:tcPr>
            <w:tcW w:w="920"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严重</w:t>
            </w:r>
          </w:p>
        </w:tc>
        <w:tc>
          <w:tcPr>
            <w:tcW w:w="3480"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超建面积占审批面积</w:t>
            </w:r>
            <w:r>
              <w:rPr>
                <w:rFonts w:hint="eastAsia" w:ascii="宋体" w:hAnsi="宋体" w:cs="宋体"/>
                <w:color w:val="auto"/>
                <w:kern w:val="0"/>
                <w:highlight w:val="none"/>
                <w:lang w:val="en-US" w:eastAsia="zh-CN"/>
              </w:rPr>
              <w:t>15</w:t>
            </w:r>
            <w:r>
              <w:rPr>
                <w:rFonts w:ascii="宋体" w:hAnsi="宋体" w:cs="宋体"/>
                <w:color w:val="auto"/>
                <w:kern w:val="0"/>
                <w:highlight w:val="none"/>
              </w:rPr>
              <w:t>%</w:t>
            </w:r>
            <w:r>
              <w:rPr>
                <w:rFonts w:hint="eastAsia" w:ascii="宋体" w:hAnsi="宋体" w:cs="宋体"/>
                <w:color w:val="auto"/>
                <w:kern w:val="0"/>
                <w:highlight w:val="none"/>
              </w:rPr>
              <w:t>以上的；</w:t>
            </w:r>
          </w:p>
          <w:p>
            <w:pPr>
              <w:widowControl/>
              <w:spacing w:line="320" w:lineRule="exact"/>
              <w:jc w:val="left"/>
              <w:rPr>
                <w:rFonts w:ascii="宋体" w:cs="Times New Roman"/>
                <w:color w:val="auto"/>
                <w:kern w:val="0"/>
                <w:highlight w:val="none"/>
              </w:rPr>
            </w:pPr>
            <w:r>
              <w:rPr>
                <w:rFonts w:hint="eastAsia" w:ascii="宋体" w:hAnsi="宋体" w:cs="宋体"/>
                <w:color w:val="auto"/>
                <w:kern w:val="0"/>
                <w:highlight w:val="none"/>
              </w:rPr>
              <w:t>违法建设面积</w:t>
            </w:r>
            <w:r>
              <w:rPr>
                <w:rFonts w:hint="eastAsia" w:ascii="宋体" w:hAnsi="宋体" w:cs="宋体"/>
                <w:color w:val="auto"/>
                <w:kern w:val="0"/>
                <w:highlight w:val="none"/>
                <w:lang w:val="en-US" w:eastAsia="zh-CN"/>
              </w:rPr>
              <w:t>500</w:t>
            </w:r>
            <w:r>
              <w:rPr>
                <w:rFonts w:ascii="宋体" w:hAnsi="宋体" w:cs="宋体"/>
                <w:color w:val="auto"/>
                <w:kern w:val="0"/>
                <w:highlight w:val="none"/>
              </w:rPr>
              <w:t>平方米以上的。</w:t>
            </w:r>
          </w:p>
        </w:tc>
        <w:tc>
          <w:tcPr>
            <w:tcW w:w="1400" w:type="dxa"/>
            <w:tcBorders>
              <w:top w:val="nil"/>
              <w:left w:val="nil"/>
              <w:bottom w:val="single" w:color="auto" w:sz="4" w:space="0"/>
              <w:right w:val="single" w:color="auto" w:sz="4" w:space="0"/>
            </w:tcBorders>
            <w:vAlign w:val="center"/>
          </w:tcPr>
          <w:p>
            <w:pPr>
              <w:widowControl/>
              <w:spacing w:line="320" w:lineRule="exact"/>
              <w:jc w:val="left"/>
              <w:rPr>
                <w:rFonts w:hint="eastAsia" w:ascii="宋体" w:eastAsia="宋体"/>
                <w:color w:val="auto"/>
                <w:kern w:val="0"/>
                <w:highlight w:val="none"/>
                <w:lang w:eastAsia="zh-CN"/>
              </w:rPr>
            </w:pPr>
            <w:r>
              <w:rPr>
                <w:rFonts w:hint="eastAsia" w:ascii="宋体" w:hAnsi="宋体" w:cs="宋体"/>
                <w:color w:val="auto"/>
                <w:kern w:val="0"/>
                <w:highlight w:val="none"/>
              </w:rPr>
              <w:t>责令其限期改正，按该项违法建设工程造价的</w:t>
            </w:r>
            <w:r>
              <w:rPr>
                <w:rFonts w:ascii="宋体" w:hAnsi="宋体" w:cs="宋体"/>
                <w:color w:val="auto"/>
                <w:kern w:val="0"/>
                <w:highlight w:val="none"/>
              </w:rPr>
              <w:t>2%以上3%</w:t>
            </w:r>
            <w:r>
              <w:rPr>
                <w:rFonts w:hint="eastAsia" w:ascii="宋体" w:hAnsi="宋体" w:cs="宋体"/>
                <w:color w:val="auto"/>
                <w:kern w:val="0"/>
                <w:highlight w:val="none"/>
              </w:rPr>
              <w:t>以下的罚款</w:t>
            </w:r>
            <w:r>
              <w:rPr>
                <w:rFonts w:hint="eastAsia" w:ascii="宋体" w:hAnsi="宋体" w:cs="宋体"/>
                <w:color w:val="auto"/>
                <w:kern w:val="0"/>
                <w:highlight w:val="none"/>
                <w:lang w:eastAsia="zh-CN"/>
              </w:rPr>
              <w:t>。</w:t>
            </w:r>
          </w:p>
        </w:tc>
        <w:tc>
          <w:tcPr>
            <w:tcW w:w="940" w:type="dxa"/>
            <w:tcBorders>
              <w:top w:val="nil"/>
              <w:left w:val="nil"/>
              <w:bottom w:val="single" w:color="auto" w:sz="4" w:space="0"/>
              <w:right w:val="single" w:color="auto" w:sz="4" w:space="0"/>
            </w:tcBorders>
            <w:vAlign w:val="center"/>
          </w:tcPr>
          <w:p>
            <w:pPr>
              <w:widowControl/>
              <w:spacing w:line="320" w:lineRule="exact"/>
              <w:jc w:val="left"/>
              <w:rPr>
                <w:rFonts w:ascii="宋体"/>
                <w:color w:val="auto"/>
                <w:kern w:val="0"/>
                <w:highlight w:val="none"/>
              </w:rPr>
            </w:pPr>
            <w:r>
              <w:rPr>
                <w:rFonts w:hint="eastAsia" w:ascii="宋体" w:hAnsi="宋体" w:cs="宋体"/>
                <w:color w:val="auto"/>
                <w:kern w:val="0"/>
                <w:highlight w:val="none"/>
              </w:rPr>
              <w:t>　</w:t>
            </w:r>
          </w:p>
        </w:tc>
      </w:tr>
    </w:tbl>
    <w:p>
      <w:pPr>
        <w:spacing w:line="320" w:lineRule="exact"/>
        <w:rPr>
          <w:rFonts w:ascii="宋体"/>
          <w:color w:val="auto"/>
        </w:rPr>
      </w:pPr>
    </w:p>
    <w:p/>
    <w:sectPr>
      <w:footerReference r:id="rId3" w:type="default"/>
      <w:pgSz w:w="16839" w:h="11907" w:orient="landscape"/>
      <w:pgMar w:top="1531" w:right="1588" w:bottom="1531" w:left="158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uto" w:vAnchor="text" w:hAnchor="margin" w:xAlign="center" w:y="1"/>
      <w:rPr>
        <w:rStyle w:val="12"/>
      </w:rPr>
    </w:pPr>
    <w:r>
      <w:rPr>
        <w:rStyle w:val="12"/>
      </w:rPr>
      <w:fldChar w:fldCharType="begin"/>
    </w:r>
    <w:r>
      <w:rPr>
        <w:rStyle w:val="12"/>
      </w:rPr>
      <w:instrText xml:space="preserve">PAGE  </w:instrText>
    </w:r>
    <w:r>
      <w:rPr>
        <w:rStyle w:val="12"/>
      </w:rPr>
      <w:fldChar w:fldCharType="separate"/>
    </w:r>
    <w:r>
      <w:rPr>
        <w:rStyle w:val="12"/>
      </w:rPr>
      <w:t>3</w:t>
    </w:r>
    <w:r>
      <w:rPr>
        <w:rStyle w:val="12"/>
      </w:rP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FFF88"/>
    <w:multiLevelType w:val="singleLevel"/>
    <w:tmpl w:val="0FFFFF88"/>
    <w:lvl w:ilvl="0" w:tentative="0">
      <w:start w:val="1"/>
      <w:numFmt w:val="decimal"/>
      <w:pStyle w:val="37"/>
      <w:lvlText w:val="%1."/>
      <w:lvlJc w:val="left"/>
      <w:pPr>
        <w:tabs>
          <w:tab w:val="left" w:pos="360"/>
        </w:tabs>
        <w:ind w:left="360" w:hanging="360"/>
      </w:pPr>
    </w:lvl>
  </w:abstractNum>
  <w:abstractNum w:abstractNumId="1">
    <w:nsid w:val="0FFFFF89"/>
    <w:multiLevelType w:val="singleLevel"/>
    <w:tmpl w:val="0FFFFF89"/>
    <w:lvl w:ilvl="0" w:tentative="0">
      <w:start w:val="1"/>
      <w:numFmt w:val="bullet"/>
      <w:pStyle w:val="2"/>
      <w:lvlText w:val=""/>
      <w:lvlJc w:val="left"/>
      <w:pPr>
        <w:tabs>
          <w:tab w:val="left" w:pos="360"/>
        </w:tabs>
        <w:ind w:left="360" w:hanging="360"/>
      </w:pPr>
      <w:rPr>
        <w:rFonts w:hint="default" w:ascii="Wingdings" w:hAnsi="Wingdings" w:cs="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oNotHyphenateCaps/>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5D4F1E"/>
    <w:rsid w:val="0000356E"/>
    <w:rsid w:val="000304CA"/>
    <w:rsid w:val="00032369"/>
    <w:rsid w:val="00042D37"/>
    <w:rsid w:val="00047C1B"/>
    <w:rsid w:val="00076B37"/>
    <w:rsid w:val="000847B1"/>
    <w:rsid w:val="00090816"/>
    <w:rsid w:val="00096A08"/>
    <w:rsid w:val="000A2CCE"/>
    <w:rsid w:val="000A3735"/>
    <w:rsid w:val="000A63F3"/>
    <w:rsid w:val="000F11F8"/>
    <w:rsid w:val="00102FAD"/>
    <w:rsid w:val="00134C08"/>
    <w:rsid w:val="0016696C"/>
    <w:rsid w:val="0017510C"/>
    <w:rsid w:val="00177968"/>
    <w:rsid w:val="00192CDD"/>
    <w:rsid w:val="001C1CA2"/>
    <w:rsid w:val="001C5923"/>
    <w:rsid w:val="001D16DE"/>
    <w:rsid w:val="001D6D36"/>
    <w:rsid w:val="001E45D9"/>
    <w:rsid w:val="001F7C31"/>
    <w:rsid w:val="00200C53"/>
    <w:rsid w:val="00205B58"/>
    <w:rsid w:val="002265EE"/>
    <w:rsid w:val="00264206"/>
    <w:rsid w:val="00272A7B"/>
    <w:rsid w:val="0027784B"/>
    <w:rsid w:val="002D1784"/>
    <w:rsid w:val="002D3CFE"/>
    <w:rsid w:val="002D58DF"/>
    <w:rsid w:val="002E0DDC"/>
    <w:rsid w:val="002F22FF"/>
    <w:rsid w:val="002F52BC"/>
    <w:rsid w:val="00312081"/>
    <w:rsid w:val="00335AD4"/>
    <w:rsid w:val="00361A13"/>
    <w:rsid w:val="003930E4"/>
    <w:rsid w:val="003A1CD1"/>
    <w:rsid w:val="003B1405"/>
    <w:rsid w:val="003B2408"/>
    <w:rsid w:val="003B378F"/>
    <w:rsid w:val="003C7AAA"/>
    <w:rsid w:val="003D73DE"/>
    <w:rsid w:val="003E2268"/>
    <w:rsid w:val="003F283F"/>
    <w:rsid w:val="003F4A4A"/>
    <w:rsid w:val="00402F02"/>
    <w:rsid w:val="004135D6"/>
    <w:rsid w:val="0042319B"/>
    <w:rsid w:val="0044398A"/>
    <w:rsid w:val="00462C00"/>
    <w:rsid w:val="00473D26"/>
    <w:rsid w:val="004A3BD4"/>
    <w:rsid w:val="004A4C89"/>
    <w:rsid w:val="004B311B"/>
    <w:rsid w:val="004E6360"/>
    <w:rsid w:val="004F26CF"/>
    <w:rsid w:val="004F53A5"/>
    <w:rsid w:val="00525060"/>
    <w:rsid w:val="005254D6"/>
    <w:rsid w:val="00536077"/>
    <w:rsid w:val="00545733"/>
    <w:rsid w:val="0055435D"/>
    <w:rsid w:val="00556C12"/>
    <w:rsid w:val="00592B15"/>
    <w:rsid w:val="0059797C"/>
    <w:rsid w:val="005A5300"/>
    <w:rsid w:val="005B454A"/>
    <w:rsid w:val="005D1DFB"/>
    <w:rsid w:val="005D4F1E"/>
    <w:rsid w:val="005E49B7"/>
    <w:rsid w:val="00604006"/>
    <w:rsid w:val="006149A3"/>
    <w:rsid w:val="006207A4"/>
    <w:rsid w:val="006209EF"/>
    <w:rsid w:val="0062790C"/>
    <w:rsid w:val="00633344"/>
    <w:rsid w:val="00663131"/>
    <w:rsid w:val="00663188"/>
    <w:rsid w:val="0067787C"/>
    <w:rsid w:val="006913CF"/>
    <w:rsid w:val="00692A5C"/>
    <w:rsid w:val="00697966"/>
    <w:rsid w:val="006A09FD"/>
    <w:rsid w:val="006A7621"/>
    <w:rsid w:val="006B1053"/>
    <w:rsid w:val="006B200A"/>
    <w:rsid w:val="006B420D"/>
    <w:rsid w:val="006B77B6"/>
    <w:rsid w:val="006C002C"/>
    <w:rsid w:val="006C2578"/>
    <w:rsid w:val="00715E5E"/>
    <w:rsid w:val="00726D62"/>
    <w:rsid w:val="0075457E"/>
    <w:rsid w:val="00755BE1"/>
    <w:rsid w:val="00762B98"/>
    <w:rsid w:val="0077648D"/>
    <w:rsid w:val="00793851"/>
    <w:rsid w:val="007A6CE2"/>
    <w:rsid w:val="007B50B6"/>
    <w:rsid w:val="007C7FA8"/>
    <w:rsid w:val="007F5C8B"/>
    <w:rsid w:val="00817E3D"/>
    <w:rsid w:val="00851CE0"/>
    <w:rsid w:val="008565AB"/>
    <w:rsid w:val="00882004"/>
    <w:rsid w:val="008D04D2"/>
    <w:rsid w:val="008D15BB"/>
    <w:rsid w:val="008E5506"/>
    <w:rsid w:val="008E7D19"/>
    <w:rsid w:val="008F6CE9"/>
    <w:rsid w:val="0090648D"/>
    <w:rsid w:val="0090799E"/>
    <w:rsid w:val="00913F19"/>
    <w:rsid w:val="009158BF"/>
    <w:rsid w:val="00915F1C"/>
    <w:rsid w:val="009166E0"/>
    <w:rsid w:val="00917238"/>
    <w:rsid w:val="00926D67"/>
    <w:rsid w:val="00926E7E"/>
    <w:rsid w:val="00953DED"/>
    <w:rsid w:val="00962172"/>
    <w:rsid w:val="00962CF7"/>
    <w:rsid w:val="009C1F8E"/>
    <w:rsid w:val="009C3085"/>
    <w:rsid w:val="009E1C6B"/>
    <w:rsid w:val="009E4164"/>
    <w:rsid w:val="00A420F9"/>
    <w:rsid w:val="00A63E9E"/>
    <w:rsid w:val="00A64E9B"/>
    <w:rsid w:val="00A770C5"/>
    <w:rsid w:val="00A97636"/>
    <w:rsid w:val="00AA5BEE"/>
    <w:rsid w:val="00AB2B3C"/>
    <w:rsid w:val="00AC50A2"/>
    <w:rsid w:val="00AE7D0B"/>
    <w:rsid w:val="00AF088D"/>
    <w:rsid w:val="00B1108E"/>
    <w:rsid w:val="00B671E7"/>
    <w:rsid w:val="00B7376B"/>
    <w:rsid w:val="00B81680"/>
    <w:rsid w:val="00BA3700"/>
    <w:rsid w:val="00BB209D"/>
    <w:rsid w:val="00BB2A34"/>
    <w:rsid w:val="00BC5835"/>
    <w:rsid w:val="00BD02C5"/>
    <w:rsid w:val="00BD0749"/>
    <w:rsid w:val="00BF0EB6"/>
    <w:rsid w:val="00C278A2"/>
    <w:rsid w:val="00C30327"/>
    <w:rsid w:val="00C34B68"/>
    <w:rsid w:val="00C505FE"/>
    <w:rsid w:val="00C70AE3"/>
    <w:rsid w:val="00C8079B"/>
    <w:rsid w:val="00C84350"/>
    <w:rsid w:val="00C96E19"/>
    <w:rsid w:val="00CC406B"/>
    <w:rsid w:val="00CD017B"/>
    <w:rsid w:val="00CE2E17"/>
    <w:rsid w:val="00D0088D"/>
    <w:rsid w:val="00D1355F"/>
    <w:rsid w:val="00D2257A"/>
    <w:rsid w:val="00D5526C"/>
    <w:rsid w:val="00D5553A"/>
    <w:rsid w:val="00D831F4"/>
    <w:rsid w:val="00DD38C0"/>
    <w:rsid w:val="00DE3107"/>
    <w:rsid w:val="00E03C22"/>
    <w:rsid w:val="00E06103"/>
    <w:rsid w:val="00E13D4C"/>
    <w:rsid w:val="00E238EB"/>
    <w:rsid w:val="00E4375A"/>
    <w:rsid w:val="00E73E97"/>
    <w:rsid w:val="00E740D2"/>
    <w:rsid w:val="00E77D57"/>
    <w:rsid w:val="00E85C30"/>
    <w:rsid w:val="00EA2667"/>
    <w:rsid w:val="00EB32EF"/>
    <w:rsid w:val="00EB548F"/>
    <w:rsid w:val="00EC0B6E"/>
    <w:rsid w:val="00EF2405"/>
    <w:rsid w:val="00F10D4A"/>
    <w:rsid w:val="00F1198C"/>
    <w:rsid w:val="00F158D7"/>
    <w:rsid w:val="00F414FB"/>
    <w:rsid w:val="00F8123A"/>
    <w:rsid w:val="00F87A79"/>
    <w:rsid w:val="00FB4389"/>
    <w:rsid w:val="00FE11C8"/>
    <w:rsid w:val="00FE3A89"/>
    <w:rsid w:val="00FF6AA8"/>
    <w:rsid w:val="1BFE44C8"/>
    <w:rsid w:val="418F9CA4"/>
    <w:rsid w:val="4FF68289"/>
    <w:rsid w:val="5B77B18B"/>
    <w:rsid w:val="6FF74EDE"/>
    <w:rsid w:val="7CDED10F"/>
    <w:rsid w:val="7EE101D9"/>
    <w:rsid w:val="7FC37569"/>
    <w:rsid w:val="BFA755AA"/>
    <w:rsid w:val="BFFFA8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5"/>
    <w:qFormat/>
    <w:uiPriority w:val="99"/>
    <w:pPr>
      <w:keepNext/>
      <w:keepLines/>
      <w:numPr>
        <w:ilvl w:val="0"/>
        <w:numId w:val="1"/>
      </w:numPr>
      <w:tabs>
        <w:tab w:val="clear" w:pos="360"/>
      </w:tabs>
      <w:spacing w:before="340" w:after="330" w:line="578" w:lineRule="auto"/>
      <w:outlineLvl w:val="0"/>
    </w:pPr>
    <w:rPr>
      <w:b/>
      <w:bCs/>
      <w:kern w:val="44"/>
      <w:sz w:val="44"/>
      <w:szCs w:val="44"/>
    </w:rPr>
  </w:style>
  <w:style w:type="paragraph" w:styleId="3">
    <w:name w:val="heading 2"/>
    <w:basedOn w:val="1"/>
    <w:next w:val="1"/>
    <w:link w:val="16"/>
    <w:qFormat/>
    <w:uiPriority w:val="99"/>
    <w:pPr>
      <w:keepNext/>
      <w:keepLines/>
      <w:spacing w:before="260" w:after="260" w:line="415" w:lineRule="auto"/>
      <w:outlineLvl w:val="1"/>
    </w:pPr>
    <w:rPr>
      <w:rFonts w:ascii="Arial" w:hAnsi="Arial" w:eastAsia="黑体" w:cs="Arial"/>
      <w:b/>
      <w:bCs/>
      <w:sz w:val="32"/>
      <w:szCs w:val="32"/>
    </w:rPr>
  </w:style>
  <w:style w:type="paragraph" w:styleId="4">
    <w:name w:val="heading 3"/>
    <w:basedOn w:val="1"/>
    <w:next w:val="1"/>
    <w:link w:val="17"/>
    <w:qFormat/>
    <w:uiPriority w:val="99"/>
    <w:pPr>
      <w:keepNext/>
      <w:keepLines/>
      <w:spacing w:before="260" w:after="260" w:line="415" w:lineRule="auto"/>
      <w:outlineLvl w:val="2"/>
    </w:pPr>
    <w:rPr>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Plain Text"/>
    <w:basedOn w:val="1"/>
    <w:link w:val="18"/>
    <w:qFormat/>
    <w:uiPriority w:val="99"/>
    <w:rPr>
      <w:rFonts w:ascii="宋体" w:cs="宋体"/>
    </w:rPr>
  </w:style>
  <w:style w:type="paragraph" w:styleId="6">
    <w:name w:val="Date"/>
    <w:basedOn w:val="1"/>
    <w:next w:val="1"/>
    <w:link w:val="19"/>
    <w:qFormat/>
    <w:uiPriority w:val="99"/>
    <w:pPr>
      <w:ind w:left="100" w:leftChars="2500"/>
    </w:pPr>
  </w:style>
  <w:style w:type="paragraph" w:styleId="7">
    <w:name w:val="Balloon Text"/>
    <w:basedOn w:val="1"/>
    <w:link w:val="20"/>
    <w:semiHidden/>
    <w:qFormat/>
    <w:uiPriority w:val="99"/>
    <w:rPr>
      <w:sz w:val="18"/>
      <w:szCs w:val="18"/>
    </w:rPr>
  </w:style>
  <w:style w:type="paragraph" w:styleId="8">
    <w:name w:val="footer"/>
    <w:basedOn w:val="1"/>
    <w:link w:val="21"/>
    <w:qFormat/>
    <w:uiPriority w:val="99"/>
    <w:pPr>
      <w:tabs>
        <w:tab w:val="center" w:pos="4153"/>
        <w:tab w:val="right" w:pos="8306"/>
      </w:tabs>
      <w:snapToGrid w:val="0"/>
      <w:jc w:val="left"/>
    </w:pPr>
    <w:rPr>
      <w:sz w:val="18"/>
      <w:szCs w:val="18"/>
    </w:rPr>
  </w:style>
  <w:style w:type="paragraph" w:styleId="9">
    <w:name w:val="header"/>
    <w:basedOn w:val="1"/>
    <w:link w:val="22"/>
    <w:qFormat/>
    <w:uiPriority w:val="99"/>
    <w:pPr>
      <w:pBdr>
        <w:bottom w:val="single" w:color="auto" w:sz="6" w:space="1"/>
      </w:pBdr>
      <w:tabs>
        <w:tab w:val="center" w:pos="4153"/>
        <w:tab w:val="right" w:pos="8306"/>
      </w:tabs>
      <w:snapToGrid w:val="0"/>
      <w:jc w:val="center"/>
    </w:pPr>
    <w:rPr>
      <w:sz w:val="18"/>
      <w:szCs w:val="18"/>
    </w:rPr>
  </w:style>
  <w:style w:type="character" w:styleId="12">
    <w:name w:val="page number"/>
    <w:basedOn w:val="11"/>
    <w:qFormat/>
    <w:uiPriority w:val="99"/>
  </w:style>
  <w:style w:type="character" w:styleId="13">
    <w:name w:val="FollowedHyperlink"/>
    <w:basedOn w:val="11"/>
    <w:qFormat/>
    <w:uiPriority w:val="99"/>
    <w:rPr>
      <w:color w:val="800080"/>
      <w:u w:val="single"/>
    </w:rPr>
  </w:style>
  <w:style w:type="character" w:styleId="14">
    <w:name w:val="Hyperlink"/>
    <w:basedOn w:val="11"/>
    <w:qFormat/>
    <w:uiPriority w:val="99"/>
    <w:rPr>
      <w:color w:val="0000FF"/>
      <w:u w:val="single"/>
    </w:rPr>
  </w:style>
  <w:style w:type="character" w:customStyle="1" w:styleId="15">
    <w:name w:val="标题 1 Char"/>
    <w:basedOn w:val="11"/>
    <w:link w:val="2"/>
    <w:qFormat/>
    <w:locked/>
    <w:uiPriority w:val="99"/>
    <w:rPr>
      <w:rFonts w:ascii="Times New Roman" w:hAnsi="Times New Roman" w:eastAsia="宋体" w:cs="Times New Roman"/>
      <w:b/>
      <w:bCs/>
      <w:kern w:val="44"/>
      <w:sz w:val="24"/>
      <w:szCs w:val="24"/>
    </w:rPr>
  </w:style>
  <w:style w:type="character" w:customStyle="1" w:styleId="16">
    <w:name w:val="标题 2 Char"/>
    <w:basedOn w:val="11"/>
    <w:link w:val="3"/>
    <w:qFormat/>
    <w:locked/>
    <w:uiPriority w:val="99"/>
    <w:rPr>
      <w:rFonts w:ascii="Arial" w:hAnsi="Arial" w:eastAsia="黑体" w:cs="Arial"/>
      <w:b/>
      <w:bCs/>
      <w:sz w:val="24"/>
      <w:szCs w:val="24"/>
    </w:rPr>
  </w:style>
  <w:style w:type="character" w:customStyle="1" w:styleId="17">
    <w:name w:val="标题 3 Char"/>
    <w:basedOn w:val="11"/>
    <w:link w:val="4"/>
    <w:qFormat/>
    <w:locked/>
    <w:uiPriority w:val="99"/>
    <w:rPr>
      <w:rFonts w:ascii="Times New Roman" w:hAnsi="Times New Roman" w:eastAsia="宋体" w:cs="Times New Roman"/>
      <w:b/>
      <w:bCs/>
      <w:sz w:val="24"/>
      <w:szCs w:val="24"/>
    </w:rPr>
  </w:style>
  <w:style w:type="character" w:customStyle="1" w:styleId="18">
    <w:name w:val="纯文本 Char"/>
    <w:basedOn w:val="11"/>
    <w:link w:val="5"/>
    <w:qFormat/>
    <w:locked/>
    <w:uiPriority w:val="99"/>
    <w:rPr>
      <w:rFonts w:ascii="宋体" w:hAnsi="Times New Roman" w:eastAsia="宋体" w:cs="宋体"/>
      <w:kern w:val="2"/>
      <w:sz w:val="21"/>
      <w:szCs w:val="21"/>
      <w:lang w:val="en-US" w:eastAsia="zh-CN"/>
    </w:rPr>
  </w:style>
  <w:style w:type="character" w:customStyle="1" w:styleId="19">
    <w:name w:val="日期 Char"/>
    <w:basedOn w:val="11"/>
    <w:link w:val="6"/>
    <w:qFormat/>
    <w:locked/>
    <w:uiPriority w:val="99"/>
    <w:rPr>
      <w:rFonts w:ascii="Times New Roman" w:hAnsi="Times New Roman" w:eastAsia="宋体" w:cs="Times New Roman"/>
      <w:sz w:val="24"/>
      <w:szCs w:val="24"/>
    </w:rPr>
  </w:style>
  <w:style w:type="character" w:customStyle="1" w:styleId="20">
    <w:name w:val="批注框文本 Char"/>
    <w:basedOn w:val="11"/>
    <w:link w:val="7"/>
    <w:qFormat/>
    <w:locked/>
    <w:uiPriority w:val="99"/>
    <w:rPr>
      <w:rFonts w:ascii="Times New Roman" w:hAnsi="Times New Roman" w:eastAsia="宋体" w:cs="Times New Roman"/>
      <w:sz w:val="18"/>
      <w:szCs w:val="18"/>
    </w:rPr>
  </w:style>
  <w:style w:type="character" w:customStyle="1" w:styleId="21">
    <w:name w:val="页脚 Char"/>
    <w:basedOn w:val="11"/>
    <w:link w:val="8"/>
    <w:qFormat/>
    <w:locked/>
    <w:uiPriority w:val="99"/>
    <w:rPr>
      <w:rFonts w:ascii="Times New Roman" w:hAnsi="Times New Roman" w:eastAsia="宋体" w:cs="Times New Roman"/>
      <w:sz w:val="18"/>
      <w:szCs w:val="18"/>
    </w:rPr>
  </w:style>
  <w:style w:type="character" w:customStyle="1" w:styleId="22">
    <w:name w:val="页眉 Char"/>
    <w:basedOn w:val="11"/>
    <w:link w:val="9"/>
    <w:qFormat/>
    <w:locked/>
    <w:uiPriority w:val="99"/>
    <w:rPr>
      <w:rFonts w:ascii="Times New Roman" w:hAnsi="Times New Roman" w:eastAsia="宋体" w:cs="Times New Roman"/>
      <w:sz w:val="18"/>
      <w:szCs w:val="18"/>
    </w:rPr>
  </w:style>
  <w:style w:type="paragraph" w:customStyle="1" w:styleId="23">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24">
    <w:name w:val="font6"/>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customStyle="1" w:styleId="25">
    <w:name w:val="font7"/>
    <w:basedOn w:val="1"/>
    <w:qFormat/>
    <w:uiPriority w:val="99"/>
    <w:pPr>
      <w:widowControl/>
      <w:spacing w:before="100" w:beforeAutospacing="1" w:after="100" w:afterAutospacing="1"/>
      <w:jc w:val="left"/>
    </w:pPr>
    <w:rPr>
      <w:rFonts w:ascii="宋体" w:hAnsi="宋体" w:cs="宋体"/>
      <w:color w:val="000000"/>
      <w:kern w:val="0"/>
      <w:sz w:val="20"/>
      <w:szCs w:val="20"/>
    </w:rPr>
  </w:style>
  <w:style w:type="paragraph" w:customStyle="1" w:styleId="26">
    <w:name w:val="font8"/>
    <w:basedOn w:val="1"/>
    <w:qFormat/>
    <w:uiPriority w:val="99"/>
    <w:pPr>
      <w:widowControl/>
      <w:spacing w:before="100" w:beforeAutospacing="1" w:after="100" w:afterAutospacing="1"/>
      <w:jc w:val="left"/>
    </w:pPr>
    <w:rPr>
      <w:color w:val="000000"/>
      <w:kern w:val="0"/>
      <w:sz w:val="20"/>
      <w:szCs w:val="20"/>
    </w:rPr>
  </w:style>
  <w:style w:type="paragraph" w:customStyle="1" w:styleId="27">
    <w:name w:val="font9"/>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28">
    <w:name w:val="xl2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8"/>
      <w:szCs w:val="28"/>
    </w:rPr>
  </w:style>
  <w:style w:type="paragraph" w:customStyle="1" w:styleId="29">
    <w:name w:val="xl2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30">
    <w:name w:val="xl2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31">
    <w:name w:val="xl2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2">
    <w:name w:val="xl2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3">
    <w:name w:val="xl2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4">
    <w:name w:val="xl3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5">
    <w:name w:val="xl3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0"/>
      <w:szCs w:val="20"/>
    </w:rPr>
  </w:style>
  <w:style w:type="paragraph" w:customStyle="1" w:styleId="36">
    <w:name w:val="xl3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0"/>
      <w:szCs w:val="20"/>
    </w:rPr>
  </w:style>
  <w:style w:type="paragraph" w:customStyle="1" w:styleId="37">
    <w:name w:val="xl33"/>
    <w:basedOn w:val="1"/>
    <w:qFormat/>
    <w:uiPriority w:val="99"/>
    <w:pPr>
      <w:widowControl/>
      <w:numPr>
        <w:ilvl w:val="0"/>
        <w:numId w:val="2"/>
      </w:numPr>
      <w:pBdr>
        <w:top w:val="single" w:color="auto" w:sz="4" w:space="0"/>
        <w:left w:val="single" w:color="auto" w:sz="4" w:space="0"/>
        <w:bottom w:val="single" w:color="auto" w:sz="4" w:space="0"/>
        <w:right w:val="single" w:color="auto" w:sz="4" w:space="0"/>
      </w:pBdr>
      <w:tabs>
        <w:tab w:val="clear" w:pos="360"/>
      </w:tabs>
      <w:spacing w:before="100" w:beforeAutospacing="1" w:after="100" w:afterAutospacing="1"/>
      <w:jc w:val="left"/>
      <w:textAlignment w:val="bottom"/>
    </w:pPr>
    <w:rPr>
      <w:rFonts w:ascii="宋体" w:hAnsi="宋体" w:cs="宋体"/>
      <w:color w:val="000000"/>
      <w:kern w:val="0"/>
      <w:sz w:val="20"/>
      <w:szCs w:val="20"/>
    </w:rPr>
  </w:style>
  <w:style w:type="paragraph" w:customStyle="1" w:styleId="38">
    <w:name w:val="xl3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39">
    <w:name w:val="xl3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40">
    <w:name w:val="xl3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41">
    <w:name w:val="xl3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 w:val="20"/>
      <w:szCs w:val="20"/>
    </w:rPr>
  </w:style>
  <w:style w:type="paragraph" w:customStyle="1" w:styleId="42">
    <w:name w:val="xl3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43">
    <w:name w:val="xl3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4"/>
      <w:szCs w:val="24"/>
    </w:rPr>
  </w:style>
  <w:style w:type="paragraph" w:customStyle="1" w:styleId="44">
    <w:name w:val="xl4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8"/>
      <w:szCs w:val="28"/>
    </w:rPr>
  </w:style>
  <w:style w:type="paragraph" w:customStyle="1" w:styleId="45">
    <w:name w:val="xl4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8"/>
      <w:szCs w:val="28"/>
    </w:rPr>
  </w:style>
  <w:style w:type="paragraph" w:customStyle="1" w:styleId="46">
    <w:name w:val="xl4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8"/>
      <w:szCs w:val="28"/>
    </w:rPr>
  </w:style>
  <w:style w:type="paragraph" w:customStyle="1" w:styleId="47">
    <w:name w:val="xl4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8"/>
      <w:szCs w:val="28"/>
    </w:rPr>
  </w:style>
  <w:style w:type="paragraph" w:customStyle="1" w:styleId="48">
    <w:name w:val="xl4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49">
    <w:name w:val="xl4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0">
    <w:name w:val="xl46"/>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1">
    <w:name w:val="xl4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2">
    <w:name w:val="font0"/>
    <w:basedOn w:val="1"/>
    <w:qFormat/>
    <w:uiPriority w:val="99"/>
    <w:pPr>
      <w:widowControl/>
      <w:spacing w:before="100" w:beforeAutospacing="1" w:after="100" w:afterAutospacing="1"/>
      <w:jc w:val="left"/>
    </w:pPr>
    <w:rPr>
      <w:rFonts w:ascii="宋体" w:hAnsi="宋体" w:cs="宋体"/>
      <w:kern w:val="0"/>
      <w:sz w:val="24"/>
      <w:szCs w:val="24"/>
    </w:rPr>
  </w:style>
  <w:style w:type="paragraph" w:styleId="53">
    <w:name w:val="No Spacing"/>
    <w:qFormat/>
    <w:uiPriority w:val="1"/>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1028</Words>
  <Characters>197</Characters>
  <Lines>1</Lines>
  <Paragraphs>2</Paragraphs>
  <TotalTime>19</TotalTime>
  <ScaleCrop>false</ScaleCrop>
  <LinksUpToDate>false</LinksUpToDate>
  <CharactersWithSpaces>1223</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2022-10-14T01:27:00Z</dcterms:created>
  <dc:creator>陈玉珊</dc:creator>
  <cp:lastModifiedBy>xmadmin</cp:lastModifiedBy>
  <cp:lastPrinted>2024-11-12T00:08:00Z</cp:lastPrinted>
  <dcterms:modified xsi:type="dcterms:W3CDTF">2024-11-26T16:41:20Z</dcterms:modified>
  <dc:title>厦门市城市管理行政执法部门</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