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黑体" w:eastAsia="黑体" w:cs="方正小标宋_GBK" w:hint="eastAsia"/>
          <w:sz w:val="32"/>
          <w:szCs w:val="32"/>
        </w:rPr>
      </w:pPr>
      <w:r>
        <w:rPr>
          <w:rFonts w:ascii="黑体" w:eastAsia="黑体" w:cs="方正小标宋_GBK" w:hint="eastAsia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 w:cs="方正小标宋_GBK" w:hint="eastAsia"/>
          <w:sz w:val="44"/>
          <w:szCs w:val="44"/>
        </w:rPr>
      </w:pPr>
      <w:r>
        <w:rPr>
          <w:rFonts w:ascii="方正小标宋简体" w:eastAsia="方正小标宋简体" w:cs="方正小标宋_GBK" w:hint="eastAsia"/>
          <w:sz w:val="44"/>
          <w:szCs w:val="44"/>
        </w:rPr>
        <w:t>领导干部应知应会法律法规清单</w:t>
      </w:r>
    </w:p>
    <w:p>
      <w:pPr>
        <w:spacing w:line="300" w:lineRule="exact"/>
        <w:jc w:val="center"/>
        <w:rPr>
          <w:rFonts w:ascii="方正小标宋简体" w:eastAsia="方正小标宋简体" w:cs="方正小标宋_GBK" w:hint="eastAsia"/>
          <w:sz w:val="44"/>
          <w:szCs w:val="44"/>
        </w:rPr>
      </w:pPr>
    </w:p>
    <w:tbl>
      <w:tblPr>
        <w:jc w:val="left"/>
        <w:tblInd w:w="0" w:type="dxa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80"/>
        <w:gridCol w:w="6330"/>
      </w:tblGrid>
      <w:tr>
        <w:trPr>
          <w:trHeight w:val="809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633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法律法规规章/其他理论成果</w:t>
            </w:r>
          </w:p>
        </w:tc>
      </w:tr>
      <w:tr>
        <w:trPr>
          <w:trHeight w:val="809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6330" w:type="dxa"/>
            <w:vAlign w:val="center"/>
          </w:tcPr>
          <w:p>
            <w:pPr>
              <w:jc w:val="left"/>
              <w:rPr>
                <w:rFonts w:ascii="仿宋" w:eastAsia="仿宋" w:cs="仿宋" w:hint="eastAsia"/>
                <w:sz w:val="32"/>
                <w:szCs w:val="32"/>
                <w:vertAlign w:val="baseline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《论坚持全面依法治国》《习近平关于全面依法治国论述摘编》；2.《习近平谈治国理政》（一、二、三、四卷）相关篇目；3.《习近平法治思想学习纲要》；4.其他理论著作、成果等。</w:t>
            </w:r>
          </w:p>
        </w:tc>
      </w:tr>
      <w:tr>
        <w:trPr>
          <w:trHeight w:val="809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党内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  <w:t>法规</w:t>
            </w:r>
          </w:p>
        </w:tc>
        <w:tc>
          <w:tcPr>
            <w:tcW w:w="6330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《中国共产党章程》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中国共产党支部工作条例（试行）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  <w:t>》《中国共产党基层组织选举工作条例》《中国共产党组织工作条例》《中国共产党党徽党旗条例》《中国共产党机构编制工作条例》《党政主要负责人履行推进法治建设第一责任人职责规定》《党委（党组）落实全面从严治党主体责任规定》《中国共产党重大事项请示报告条例》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《中国共产党党委（党组）理论学习中心组学习规则》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  <w:t>《县以上党和国家机关党员领导干部民主生活会若干规定》《党政领导干部选拔任用工作条例》《行政执法类公务员管理规定》《公务员职务与职级并行规定》《关于中国共产党党费收缴、使用和管理的规定》《党政机关办公用房管理办法》《党政机关公务用车管理办法》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《中国共产党廉洁自律准则》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  <w:t>《中国共产党党内监督条例》《关于党员领导干部述职述廉的暂行规定》《领导干部报告个人有关事项规定》《公务员考核规定》《中国共产党纪律处分条例》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《中国共产党问责条例》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  <w:t>《中国共产党组织处理规定（试行）》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</w:rPr>
            </w:pPr>
            <w:bookmarkStart w:id="0" w:name="_GoBack"/>
            <w:bookmarkEnd w:id="0"/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《关于新形势下党内政治生活的若干准则》</w:t>
            </w:r>
          </w:p>
        </w:tc>
      </w:tr>
      <w:tr>
        <w:trPr>
          <w:trHeight w:val="809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综合性法规</w:t>
            </w:r>
          </w:p>
        </w:tc>
        <w:tc>
          <w:tcPr>
            <w:tcW w:w="6330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《中华人民共和国宪法》《中华人民共和国民法典》《中华人民共和国行政许可法》《中华人民共和国行政处罚法》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中华人民共和国行政复议法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  <w:t>》《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中华人民共和国行政诉讼法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eastAsia="zh-CN"/>
              </w:rPr>
              <w:t>》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《中华人民共和国行政强制法》《中华人民共和国政府信息公开条例》《中华人民共和国安全生产法》《重大行政决策程序暂行条例》《信访条例》《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福建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省行政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执法</w:t>
            </w: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程序规定》</w:t>
            </w:r>
          </w:p>
        </w:tc>
      </w:tr>
      <w:tr>
        <w:trPr>
          <w:trHeight w:val="4825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城市</w:t>
            </w:r>
          </w:p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管理方面的法律、法规、规章</w:t>
            </w:r>
          </w:p>
        </w:tc>
        <w:tc>
          <w:tcPr>
            <w:tcW w:w="633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right" w:leader="dot" w:pos="13440"/>
              </w:tabs>
              <w:adjustRightInd w:val="0"/>
              <w:snapToGrid w:val="0"/>
              <w:spacing w:line="560" w:lineRule="exact"/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《厦门市市容环境卫生管理条例》</w:t>
            </w:r>
            <w:r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</w:rPr>
              <w:t>《厦门经济特区生活垃圾分类管理办法》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等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</w:rPr>
              <w:t>市容环境卫生管理方面的法规、规章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right" w:leader="dot" w:pos="13440"/>
              </w:tabs>
              <w:adjustRightInd w:val="0"/>
              <w:snapToGrid w:val="0"/>
              <w:spacing w:line="560" w:lineRule="exact"/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</w:rPr>
              <w:t>《中华人民共和国城乡规划法》《厦门市城乡规划条例》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val="en-US" w:eastAsia="zh-CN"/>
              </w:rPr>
              <w:t>等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</w:rPr>
              <w:t>城乡规划管理方面的法律、法规、规章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right" w:leader="dot" w:pos="13440"/>
              </w:tabs>
              <w:adjustRightInd w:val="0"/>
              <w:snapToGrid w:val="0"/>
              <w:spacing w:line="560" w:lineRule="exact"/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《中华人民共和国土地管理法》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等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</w:rPr>
              <w:t>土地管理方面的法律、法规、规章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right" w:leader="dot" w:pos="13440"/>
              </w:tabs>
              <w:adjustRightInd w:val="0"/>
              <w:snapToGrid w:val="0"/>
              <w:spacing w:line="560" w:lineRule="exact"/>
              <w:ind w:left="0" w:firstLine="0"/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《厦门经济特区城市园林绿化条例》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等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</w:rPr>
              <w:t>城市园林绿化和风景名胜资源保护管理方面的法规、规章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right" w:leader="dot" w:pos="13440"/>
              </w:tabs>
              <w:adjustRightInd w:val="0"/>
              <w:snapToGrid w:val="0"/>
              <w:spacing w:line="560" w:lineRule="exact"/>
              <w:ind w:left="0" w:firstLine="0"/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《厦门市市政工程设施管理条例》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等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</w:rPr>
              <w:t>市政公用管理方面的法律、法规、规章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right" w:leader="dot" w:pos="13440"/>
              </w:tabs>
              <w:adjustRightInd w:val="0"/>
              <w:snapToGrid w:val="0"/>
              <w:spacing w:line="560" w:lineRule="exact"/>
              <w:ind w:left="0" w:firstLine="0"/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</w:rPr>
              <w:t>《中华人民共和国噪声污染防治法》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《厦门市环境保护条例》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等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</w:rPr>
              <w:t>环境保护管理方面的法律、法规、规章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right" w:leader="dot" w:pos="13440"/>
              </w:tabs>
              <w:adjustRightInd w:val="0"/>
              <w:snapToGrid w:val="0"/>
              <w:spacing w:line="560" w:lineRule="exact"/>
              <w:ind w:left="0" w:firstLine="0"/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《厦门经济特区无照无证经营查处办法》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等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</w:rPr>
              <w:t>无照流动商贩管理法规</w:t>
            </w:r>
            <w:r>
              <w:rPr>
                <w:rFonts w:ascii="仿宋" w:eastAsia="仿宋" w:cs="黑体" w:hint="eastAsia"/>
                <w:color w:val="000000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right" w:leader="dot" w:pos="13440"/>
              </w:tabs>
              <w:adjustRightInd w:val="0"/>
              <w:snapToGrid w:val="0"/>
              <w:spacing w:line="560" w:lineRule="exact"/>
              <w:ind w:left="0" w:firstLine="0"/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</w:rPr>
              <w:t>《中华人民共和国道路交通安全法》</w:t>
            </w:r>
          </w:p>
          <w:p>
            <w:pPr>
              <w:tabs>
                <w:tab w:val="right" w:leader="dot" w:pos="13440"/>
              </w:tabs>
              <w:adjustRightInd w:val="0"/>
              <w:snapToGrid w:val="0"/>
              <w:spacing w:line="560" w:lineRule="exact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《厦门经济特区历史风貌保护条例》</w:t>
            </w:r>
          </w:p>
          <w:p>
            <w:pPr>
              <w:tabs>
                <w:tab w:val="right" w:leader="dot" w:pos="13440"/>
              </w:tabs>
              <w:adjustRightInd w:val="0"/>
              <w:snapToGrid w:val="0"/>
              <w:spacing w:line="560" w:lineRule="exact"/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《厦门市物业管理若干规定》《厦门市住宅区物业管理条例》</w:t>
            </w:r>
          </w:p>
          <w:p>
            <w:pPr>
              <w:tabs>
                <w:tab w:val="right" w:leader="dot" w:pos="13440"/>
              </w:tabs>
              <w:adjustRightInd w:val="0"/>
              <w:snapToGrid w:val="0"/>
              <w:spacing w:line="560" w:lineRule="exact"/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《厦门市砂、石、土资源管理规定》</w:t>
            </w:r>
          </w:p>
          <w:p>
            <w:pPr>
              <w:tabs>
                <w:tab w:val="right" w:leader="dot" w:pos="13440"/>
              </w:tabs>
              <w:adjustRightInd w:val="0"/>
              <w:snapToGrid w:val="0"/>
              <w:spacing w:line="560" w:lineRule="exact"/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《厦门经济特区养犬管理办法》</w:t>
            </w:r>
          </w:p>
          <w:p>
            <w:pPr>
              <w:tabs>
                <w:tab w:val="right" w:leader="dot" w:pos="13440"/>
              </w:tabs>
              <w:adjustRightInd w:val="0"/>
              <w:snapToGrid w:val="0"/>
              <w:spacing w:line="560" w:lineRule="exact"/>
              <w:rPr>
                <w:rFonts w:asci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《厦门经济特区机动车停车场管理条例》</w:t>
            </w:r>
          </w:p>
          <w:p>
            <w:pPr>
              <w:tabs>
                <w:tab w:val="right" w:leader="dot" w:pos="13440"/>
              </w:tabs>
              <w:adjustRightInd w:val="0"/>
              <w:snapToGrid w:val="0"/>
              <w:spacing w:line="560" w:lineRule="exact"/>
              <w:rPr>
                <w:rFonts w:asci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《厦门经济特区生态文明建设条例》</w:t>
            </w:r>
          </w:p>
          <w:p>
            <w:pPr>
              <w:spacing w:line="560" w:lineRule="exact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ascii="仿宋" w:eastAsia="仿宋" w:cs="Times New Roman" w:hint="eastAsia"/>
                <w:color w:val="000000"/>
                <w:kern w:val="0"/>
                <w:sz w:val="32"/>
                <w:szCs w:val="32"/>
              </w:rPr>
              <w:t>《厦门经济特区促进社会文明若干规定》</w:t>
            </w:r>
          </w:p>
          <w:p>
            <w:pPr>
              <w:spacing w:line="560" w:lineRule="exact"/>
              <w:rPr>
                <w:rFonts w:ascii="仿宋" w:eastAsia="仿宋" w:cs="Times New Roman" w:hint="eastAsia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ascii="仿宋" w:eastAsia="仿宋" w:cs="Times New Roman" w:hint="eastAsia"/>
                <w:sz w:val="32"/>
                <w:szCs w:val="32"/>
              </w:rPr>
              <w:t>《厦门经济特区户外广告设施设置管理办法》</w:t>
            </w:r>
          </w:p>
          <w:p>
            <w:pPr>
              <w:spacing w:line="560" w:lineRule="exact"/>
              <w:rPr>
                <w:rFonts w:ascii="仿宋" w:eastAsia="仿宋" w:cs="仿宋" w:hint="eastAsia"/>
                <w:sz w:val="32"/>
                <w:szCs w:val="32"/>
                <w:vertAlign w:val="baseline"/>
              </w:rPr>
            </w:pPr>
            <w:r>
              <w:rPr>
                <w:rFonts w:ascii="仿宋" w:eastAsia="仿宋" w:cs="Times New Roman" w:hint="eastAsia"/>
                <w:sz w:val="32"/>
                <w:szCs w:val="32"/>
                <w:lang w:eastAsia="zh-CN"/>
              </w:rPr>
              <w:t>（</w:t>
            </w:r>
            <w:r>
              <w:rPr>
                <w:rFonts w:ascii="仿宋" w:eastAsia="仿宋" w:cs="Times New Roman"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ascii="仿宋" w:eastAsia="仿宋" w:cs="Times New Roman" w:hint="eastAsia"/>
                <w:sz w:val="32"/>
                <w:szCs w:val="32"/>
                <w:lang w:eastAsia="zh-CN"/>
              </w:rPr>
              <w:t>）</w:t>
            </w:r>
            <w:r>
              <w:rPr>
                <w:rFonts w:ascii="仿宋" w:eastAsia="仿宋" w:cs="Times New Roman" w:hint="eastAsia"/>
                <w:sz w:val="32"/>
                <w:szCs w:val="32"/>
              </w:rPr>
              <w:t>《厦门市互联网租赁自行车管理办法》</w:t>
            </w:r>
          </w:p>
        </w:tc>
      </w:tr>
      <w:tr>
        <w:trPr>
          <w:trHeight w:val="809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6330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32"/>
                <w:szCs w:val="32"/>
                <w:vertAlign w:val="baseline"/>
              </w:rPr>
            </w:pPr>
            <w:r>
              <w:rPr>
                <w:rFonts w:ascii="仿宋" w:eastAsia="仿宋" w:cs="仿宋" w:hint="eastAsia"/>
                <w:sz w:val="32"/>
                <w:szCs w:val="32"/>
                <w:vertAlign w:val="baseline"/>
              </w:rPr>
              <w:t>有关国家和地方法治建设的法律法规及文件等。</w:t>
            </w:r>
          </w:p>
        </w:tc>
      </w:tr>
    </w:tbl>
    <w:p>
      <w:pPr>
        <w:jc w:val="both"/>
        <w:rPr>
          <w:rFonts w:ascii="黑体" w:eastAsia="黑体" w:cs="黑体" w:hint="eastAsia"/>
          <w:sz w:val="44"/>
          <w:szCs w:val="44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微软雅黑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91438" distR="91438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565" cy="139674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9565" cy="13967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&#13;&#10;margin-left:0.0pt;&#13;&#10;margin-top:0.0pt;&#13;&#10;width:14.138987pt;&#13;&#10;height:10.998025pt;&#13;&#10;z-index:10;&#13;&#10;mso-position-horizontal:center;&#13;&#10;mso-position-horizontal-relative:margin;&#13;&#10;mso-position-vertical:absolute;&#13;&#10;mso-wrap-distance-left:7.19989pt;&#13;&#10;mso-wrap-distance-right:7.19989pt;&#13;&#10;mso-wrap-style:none;">
              <v:stroke color="000000"/>
              <v:textbox id="848" inset="0mm,0mm,0mm,0mm" o:insetmode="custom" style="layout-flow:horizontal;&#13;&#10;v-text-anchor:top;&#13;&#10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3BABCAF"/>
    <w:multiLevelType w:val="singleLevel"/>
    <w:tmpl w:val="33BABCAF"/>
    <w:lvl w:ilvl="0">
      <w:start w:val="1"/>
      <w:numFmt w:val="decimal"/>
      <w:lvlRestart w:val="0"/>
      <w:suff w:val="nothing"/>
      <w:lvlText w:val="（%1）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47"/>
  <w:bordersDoNotSurroundHeader/>
  <w:bordersDoNotSurroundFooter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4</Pages>
  <Words>1264</Words>
  <Characters>1276</Characters>
  <Lines>74</Lines>
  <Paragraphs>39</Paragraphs>
  <CharactersWithSpaces>1276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谢能杰</dc:creator>
  <cp:lastModifiedBy>微软用户</cp:lastModifiedBy>
  <cp:revision>1</cp:revision>
  <cp:lastPrinted>2023-05-26T03:32:13Z</cp:lastPrinted>
  <dcterms:created xsi:type="dcterms:W3CDTF">2023-05-07T05:33:00Z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2052-11.8.2.10251</vt:lpwstr>
  </property>
  <property fmtid="{D5CDD505-2E9C-101B-9397-08002B2CF9AE}" pid="3" name="ICV">
    <vt:lpwstr>206DD6C6B45B463288DA998407E3C30F_11</vt:lpwstr>
  </property>
</Properties>
</file>